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30C79" w14:textId="77777777" w:rsidR="00FA2DB3" w:rsidRDefault="00FA2DB3">
      <w:pPr>
        <w:pStyle w:val="SectionHeading"/>
      </w:pPr>
      <w:bookmarkStart w:id="0" w:name="Section"/>
      <w:r>
        <w:t>SECTION 01</w:t>
      </w:r>
      <w:r w:rsidR="0089313F">
        <w:t>640</w:t>
      </w:r>
      <w:r>
        <w:br/>
        <w:t>OWNER-FURNISHED PRODUCTS</w:t>
      </w:r>
    </w:p>
    <w:p w14:paraId="41F276E4" w14:textId="77777777" w:rsidR="00FA2DB3" w:rsidRDefault="00FA2DB3">
      <w:pPr>
        <w:pStyle w:val="Heading1"/>
      </w:pPr>
      <w:bookmarkStart w:id="1" w:name="_Toc328988907"/>
      <w:bookmarkStart w:id="2" w:name="_Toc329070496"/>
      <w:bookmarkStart w:id="3" w:name="_Toc178382516"/>
      <w:bookmarkEnd w:id="0"/>
      <w:r>
        <w:t>PART 1</w:t>
      </w:r>
      <w:r>
        <w:tab/>
        <w:t>GENERAL</w:t>
      </w:r>
      <w:bookmarkEnd w:id="1"/>
      <w:bookmarkEnd w:id="2"/>
      <w:bookmarkEnd w:id="3"/>
    </w:p>
    <w:p w14:paraId="0DC7E944" w14:textId="77777777" w:rsidR="00FA2DB3" w:rsidRDefault="00FA2DB3">
      <w:pPr>
        <w:pStyle w:val="Heading2"/>
      </w:pPr>
      <w:bookmarkStart w:id="4" w:name="_Toc178382517"/>
      <w:r>
        <w:t>DEFINITIONS</w:t>
      </w:r>
      <w:bookmarkEnd w:id="4"/>
    </w:p>
    <w:p w14:paraId="494C8069" w14:textId="77777777" w:rsidR="00FA2DB3" w:rsidRDefault="00FD3200">
      <w:pPr>
        <w:pStyle w:val="Heading3"/>
      </w:pPr>
      <w:r>
        <w:t>Supplier</w:t>
      </w:r>
      <w:r w:rsidR="00FA2DB3">
        <w:t xml:space="preserve">: The party under separate contract with Owner to furnish the products </w:t>
      </w:r>
      <w:r w:rsidR="000707DE">
        <w:t xml:space="preserve">and </w:t>
      </w:r>
      <w:r w:rsidR="00FA2DB3">
        <w:t>special services specified herein</w:t>
      </w:r>
      <w:r w:rsidR="000707DE">
        <w:t xml:space="preserve">, </w:t>
      </w:r>
      <w:r w:rsidR="00524082" w:rsidRPr="00524082">
        <w:t>ARCCO Power Systems, 9918 South Perdue Ave., Baton Rouge, LA 70814</w:t>
      </w:r>
      <w:r w:rsidR="00FA2DB3">
        <w:t>.</w:t>
      </w:r>
    </w:p>
    <w:p w14:paraId="16E72A84" w14:textId="77777777" w:rsidR="00FA2DB3" w:rsidRDefault="00FA2DB3">
      <w:pPr>
        <w:pStyle w:val="Heading2"/>
      </w:pPr>
      <w:bookmarkStart w:id="5" w:name="_Toc178382518"/>
      <w:r>
        <w:t>OWNER-FURNISHED PRODUCTS</w:t>
      </w:r>
      <w:bookmarkEnd w:id="5"/>
    </w:p>
    <w:p w14:paraId="3D56D2C9" w14:textId="77777777" w:rsidR="00FA2DB3" w:rsidRDefault="002730CF">
      <w:pPr>
        <w:pStyle w:val="Heading3"/>
      </w:pPr>
      <w:r>
        <w:t>Engine-Generators:</w:t>
      </w:r>
    </w:p>
    <w:p w14:paraId="46E131C6" w14:textId="77777777" w:rsidR="000707DE" w:rsidRPr="002E5DB5" w:rsidRDefault="00FA2DB3" w:rsidP="008D598B">
      <w:pPr>
        <w:pStyle w:val="Heading4"/>
      </w:pPr>
      <w:r>
        <w:t xml:space="preserve">Quantity: </w:t>
      </w:r>
      <w:r w:rsidR="008169E6">
        <w:t>.</w:t>
      </w:r>
      <w:r w:rsidR="002730CF">
        <w:t xml:space="preserve"> Refer to pump station </w:t>
      </w:r>
      <w:r w:rsidR="006A07EA">
        <w:t>Drawings</w:t>
      </w:r>
      <w:r w:rsidR="002730CF">
        <w:t>.</w:t>
      </w:r>
      <w:r w:rsidR="008D598B">
        <w:t xml:space="preserve"> </w:t>
      </w:r>
      <w:r w:rsidR="002730CF">
        <w:t xml:space="preserve">Point of </w:t>
      </w:r>
      <w:r w:rsidR="002472EA">
        <w:t>Transfer</w:t>
      </w:r>
      <w:r w:rsidR="002730CF">
        <w:t>: </w:t>
      </w:r>
      <w:r w:rsidR="00FB3077">
        <w:t>Supplier’</w:t>
      </w:r>
      <w:r w:rsidR="002730CF">
        <w:t xml:space="preserve">s warehouse located </w:t>
      </w:r>
      <w:r w:rsidR="00FB3077">
        <w:t>in East Baton Rouge Parish</w:t>
      </w:r>
      <w:r w:rsidR="00B14EA3">
        <w:t xml:space="preserve"> </w:t>
      </w:r>
      <w:r w:rsidR="00B14EA3" w:rsidRPr="002E5DB5">
        <w:t xml:space="preserve">at </w:t>
      </w:r>
      <w:r w:rsidR="00A539C7" w:rsidRPr="007C2DB9">
        <w:rPr>
          <w:i/>
        </w:rPr>
        <w:t>at 99</w:t>
      </w:r>
      <w:r w:rsidR="00A539C7">
        <w:rPr>
          <w:i/>
        </w:rPr>
        <w:t>18</w:t>
      </w:r>
      <w:r w:rsidR="00A539C7" w:rsidRPr="007C2DB9">
        <w:rPr>
          <w:i/>
        </w:rPr>
        <w:t xml:space="preserve"> South Perdue Avenue</w:t>
      </w:r>
      <w:r w:rsidR="00A539C7" w:rsidRPr="002E5DB5" w:rsidDel="00A539C7">
        <w:t xml:space="preserve"> </w:t>
      </w:r>
      <w:r w:rsidR="00524082" w:rsidRPr="00524082">
        <w:t xml:space="preserve">for generators </w:t>
      </w:r>
      <w:r w:rsidR="008303C4">
        <w:t>500</w:t>
      </w:r>
      <w:r w:rsidR="00524082" w:rsidRPr="00524082">
        <w:t xml:space="preserve"> kW and smaller.</w:t>
      </w:r>
    </w:p>
    <w:p w14:paraId="483F6114" w14:textId="77777777" w:rsidR="00FA2DB3" w:rsidRPr="002730CF" w:rsidRDefault="00524082" w:rsidP="000707DE">
      <w:pPr>
        <w:pStyle w:val="Heading4"/>
      </w:pPr>
      <w:commentRangeStart w:id="6"/>
      <w:r w:rsidRPr="00524082">
        <w:t>Larger generator</w:t>
      </w:r>
      <w:bookmarkStart w:id="7" w:name="_GoBack"/>
      <w:bookmarkEnd w:id="7"/>
      <w:r w:rsidRPr="00524082">
        <w:t>s will be delivered directly from the manufacturer to the pump station site</w:t>
      </w:r>
      <w:r w:rsidR="00C649A9">
        <w:t xml:space="preserve">. Contractor </w:t>
      </w:r>
      <w:r w:rsidRPr="00524082">
        <w:t>shall be responsible for moving the generators to their pads when the pads are ready</w:t>
      </w:r>
      <w:r w:rsidR="008D598B">
        <w:t>, including supply of the crane necessary to move the generator to the pads.</w:t>
      </w:r>
      <w:commentRangeEnd w:id="6"/>
      <w:r w:rsidR="008A2CE1">
        <w:rPr>
          <w:rStyle w:val="CommentReference"/>
        </w:rPr>
        <w:commentReference w:id="6"/>
      </w:r>
    </w:p>
    <w:p w14:paraId="427C288A" w14:textId="77777777" w:rsidR="00FA2DB3" w:rsidRDefault="00FA2DB3">
      <w:pPr>
        <w:pStyle w:val="Heading4"/>
      </w:pPr>
      <w:r>
        <w:t xml:space="preserve">Estimated </w:t>
      </w:r>
      <w:r w:rsidR="002472EA">
        <w:t xml:space="preserve">Date </w:t>
      </w:r>
      <w:r>
        <w:t xml:space="preserve">of </w:t>
      </w:r>
      <w:r w:rsidR="002472EA">
        <w:t>Availability</w:t>
      </w:r>
      <w:r w:rsidR="00FB3077">
        <w:t xml:space="preserve">: </w:t>
      </w:r>
      <w:r w:rsidR="00524082" w:rsidRPr="00524082">
        <w:t xml:space="preserve">Notify the Engineer and Owner 60 days in advance of required pick up and transfer based on meeting the construction schedule. </w:t>
      </w:r>
      <w:r w:rsidR="008169E6">
        <w:t>Contractor may assume that generators will be available when required for installation.</w:t>
      </w:r>
    </w:p>
    <w:p w14:paraId="302BFBAB" w14:textId="77777777" w:rsidR="00FA2DB3" w:rsidRDefault="00FA2DB3">
      <w:pPr>
        <w:pStyle w:val="Heading4"/>
      </w:pPr>
      <w:r>
        <w:t>Estimated weight of product:</w:t>
      </w:r>
      <w:r w:rsidR="00FD3200">
        <w:t xml:space="preserve"> See </w:t>
      </w:r>
      <w:commentRangeStart w:id="8"/>
      <w:r w:rsidR="00100056">
        <w:t xml:space="preserve">Supplement </w:t>
      </w:r>
      <w:commentRangeEnd w:id="8"/>
      <w:r w:rsidR="002E5DB5">
        <w:rPr>
          <w:rStyle w:val="CommentReference"/>
        </w:rPr>
        <w:commentReference w:id="8"/>
      </w:r>
      <w:r w:rsidR="00FD3200">
        <w:t>at the end of this section</w:t>
      </w:r>
      <w:r>
        <w:rPr>
          <w:rStyle w:val="Choice"/>
        </w:rPr>
        <w:t>.</w:t>
      </w:r>
      <w:r>
        <w:t xml:space="preserve"> </w:t>
      </w:r>
    </w:p>
    <w:p w14:paraId="2262982E" w14:textId="77777777" w:rsidR="00FA2DB3" w:rsidRDefault="00FA2DB3">
      <w:pPr>
        <w:pStyle w:val="Heading4"/>
      </w:pPr>
      <w:r>
        <w:t xml:space="preserve">Special handling </w:t>
      </w:r>
      <w:r w:rsidR="002E5DB5">
        <w:t xml:space="preserve">and </w:t>
      </w:r>
      <w:r>
        <w:t xml:space="preserve">storage instructions: </w:t>
      </w:r>
      <w:r w:rsidR="00FD3200" w:rsidRPr="00FD3200">
        <w:rPr>
          <w:rStyle w:val="Choice"/>
          <w:b w:val="0"/>
        </w:rPr>
        <w:t xml:space="preserve">In accordance with the </w:t>
      </w:r>
      <w:r w:rsidR="00FD3200">
        <w:rPr>
          <w:rStyle w:val="Choice"/>
          <w:b w:val="0"/>
        </w:rPr>
        <w:t xml:space="preserve">generator </w:t>
      </w:r>
      <w:r w:rsidR="002E5DB5">
        <w:rPr>
          <w:rStyle w:val="Choice"/>
          <w:b w:val="0"/>
        </w:rPr>
        <w:t>S</w:t>
      </w:r>
      <w:r w:rsidR="00FD3200">
        <w:rPr>
          <w:rStyle w:val="Choice"/>
          <w:b w:val="0"/>
        </w:rPr>
        <w:t>upplier’s instructions.</w:t>
      </w:r>
    </w:p>
    <w:p w14:paraId="3B74D402" w14:textId="77777777" w:rsidR="00FA2DB3" w:rsidRDefault="00FA2DB3" w:rsidP="002730CF">
      <w:pPr>
        <w:pStyle w:val="Heading4"/>
      </w:pPr>
      <w:r>
        <w:t xml:space="preserve">Associated special services to be provided by </w:t>
      </w:r>
      <w:r w:rsidR="00FD3200">
        <w:t>Suppli</w:t>
      </w:r>
      <w:r>
        <w:t>er:</w:t>
      </w:r>
    </w:p>
    <w:p w14:paraId="0BF62C84" w14:textId="77777777" w:rsidR="00FA2DB3" w:rsidRPr="002730CF" w:rsidRDefault="002730CF">
      <w:pPr>
        <w:pStyle w:val="Heading5"/>
      </w:pPr>
      <w:r w:rsidRPr="002730CF">
        <w:t>Certification of proper installation.</w:t>
      </w:r>
    </w:p>
    <w:p w14:paraId="7E168AFB" w14:textId="77777777" w:rsidR="00FA2DB3" w:rsidRPr="002730CF" w:rsidRDefault="002730CF">
      <w:pPr>
        <w:pStyle w:val="Heading5"/>
      </w:pPr>
      <w:r w:rsidRPr="002730CF">
        <w:t xml:space="preserve">Functional </w:t>
      </w:r>
      <w:r w:rsidR="00B972A2" w:rsidRPr="002730CF">
        <w:t>Testing</w:t>
      </w:r>
      <w:r w:rsidR="008169E6">
        <w:t>: Supplier will take the lead in performing functional testing</w:t>
      </w:r>
      <w:r w:rsidRPr="002730CF">
        <w:t>.</w:t>
      </w:r>
    </w:p>
    <w:p w14:paraId="41DEC6E1" w14:textId="77777777" w:rsidR="00FA2DB3" w:rsidRPr="002730CF" w:rsidRDefault="002730CF" w:rsidP="006C6647">
      <w:pPr>
        <w:pStyle w:val="Heading5"/>
      </w:pPr>
      <w:r w:rsidRPr="002730CF">
        <w:t xml:space="preserve">Performance </w:t>
      </w:r>
      <w:r w:rsidR="00B972A2" w:rsidRPr="002730CF">
        <w:t>Testing</w:t>
      </w:r>
      <w:r w:rsidR="008169E6">
        <w:t>: Supplier will take the lead in performing performance testing.</w:t>
      </w:r>
    </w:p>
    <w:p w14:paraId="1A807DC8" w14:textId="77777777" w:rsidR="00FA2DB3" w:rsidRDefault="004969B1" w:rsidP="006A07EA">
      <w:pPr>
        <w:pStyle w:val="Heading2"/>
        <w:spacing w:before="240"/>
      </w:pPr>
      <w:r>
        <w:fldChar w:fldCharType="begin"/>
      </w:r>
      <w:r w:rsidR="00524082">
        <w:instrText xml:space="preserve">seq level1 \h \r0 </w:instrText>
      </w:r>
      <w:r>
        <w:fldChar w:fldCharType="end"/>
      </w:r>
      <w:bookmarkStart w:id="9" w:name="_Toc178382519"/>
      <w:r w:rsidR="00FA2DB3">
        <w:t>INFORMATION FURNISHED BY OWNER</w:t>
      </w:r>
      <w:bookmarkEnd w:id="9"/>
    </w:p>
    <w:p w14:paraId="4E66258A" w14:textId="77777777" w:rsidR="00FA2DB3" w:rsidRDefault="00FA2DB3" w:rsidP="006A07EA">
      <w:pPr>
        <w:pStyle w:val="Heading3"/>
        <w:keepNext/>
      </w:pPr>
      <w:r>
        <w:t>Shop drawings related to Owner</w:t>
      </w:r>
      <w:r w:rsidR="00844342">
        <w:t>-</w:t>
      </w:r>
      <w:r>
        <w:t>furnished products</w:t>
      </w:r>
      <w:r w:rsidR="00C47DC4">
        <w:t>: See Supplement at the end of this section.</w:t>
      </w:r>
      <w:r>
        <w:t>.</w:t>
      </w:r>
    </w:p>
    <w:p w14:paraId="3FBB0EB4" w14:textId="77777777" w:rsidR="00FA2DB3" w:rsidRDefault="00FA2DB3">
      <w:pPr>
        <w:pStyle w:val="Heading3"/>
      </w:pPr>
      <w:r>
        <w:t>Manufacturer’s installation, operation, and maintenance instructions for Owner</w:t>
      </w:r>
      <w:r w:rsidR="00844342">
        <w:t>-</w:t>
      </w:r>
      <w:r>
        <w:t>furnished products</w:t>
      </w:r>
      <w:r w:rsidR="00C47DC4">
        <w:t>: See Supplement at the end of this section.</w:t>
      </w:r>
      <w:r>
        <w:t>.</w:t>
      </w:r>
    </w:p>
    <w:p w14:paraId="062FD4A1" w14:textId="77777777" w:rsidR="00FA2DB3" w:rsidRDefault="00FA2DB3" w:rsidP="00D76861">
      <w:pPr>
        <w:pStyle w:val="Heading2"/>
      </w:pPr>
      <w:bookmarkStart w:id="10" w:name="_Toc330630852"/>
      <w:bookmarkStart w:id="11" w:name="_Toc529322354"/>
      <w:bookmarkStart w:id="12" w:name="_Toc178382520"/>
      <w:r>
        <w:lastRenderedPageBreak/>
        <w:t>SUBMITTALS</w:t>
      </w:r>
      <w:bookmarkEnd w:id="10"/>
      <w:bookmarkEnd w:id="11"/>
      <w:bookmarkEnd w:id="12"/>
    </w:p>
    <w:p w14:paraId="73FCD1AB" w14:textId="77777777" w:rsidR="00FA2DB3" w:rsidRDefault="00FA2DB3" w:rsidP="00D76861">
      <w:pPr>
        <w:pStyle w:val="Heading3"/>
        <w:keepNext/>
      </w:pPr>
      <w:r>
        <w:t>Action Submittals:</w:t>
      </w:r>
    </w:p>
    <w:p w14:paraId="45047B44" w14:textId="77777777" w:rsidR="00FA2DB3" w:rsidRDefault="00FA2DB3" w:rsidP="00D76861">
      <w:pPr>
        <w:pStyle w:val="Heading4"/>
        <w:keepNext/>
      </w:pPr>
      <w:r>
        <w:t>Shop Drawings:</w:t>
      </w:r>
      <w:r w:rsidR="002E5DB5">
        <w:t xml:space="preserve"> </w:t>
      </w:r>
      <w:r w:rsidR="00524082" w:rsidRPr="00524082">
        <w:t>Submit 45 calendar</w:t>
      </w:r>
      <w:r w:rsidR="002E5DB5" w:rsidRPr="00CD2442">
        <w:rPr>
          <w:rFonts w:ascii="Arial" w:hAnsi="Arial" w:cs="Arial"/>
        </w:rPr>
        <w:t xml:space="preserve"> </w:t>
      </w:r>
      <w:r w:rsidR="00524082" w:rsidRPr="00524082">
        <w:t>days prior to generator equipment pickup date</w:t>
      </w:r>
    </w:p>
    <w:p w14:paraId="57F9BA24" w14:textId="77777777" w:rsidR="00FA2DB3" w:rsidRDefault="00CA4FB3" w:rsidP="00CA4FB3">
      <w:pPr>
        <w:pStyle w:val="Heading5"/>
      </w:pPr>
      <w:r w:rsidRPr="00CA4FB3">
        <w:t>Show layout, location, and identification of materials provided by Contractor for installation of Owner-furnished products.</w:t>
      </w:r>
    </w:p>
    <w:p w14:paraId="2266DA23" w14:textId="77777777" w:rsidR="00FA2DB3" w:rsidRDefault="00CA4FB3" w:rsidP="00CA4FB3">
      <w:pPr>
        <w:pStyle w:val="Heading5"/>
      </w:pPr>
      <w:r w:rsidRPr="00CA4FB3">
        <w:t>Provide electrical and instrumentation diagrams to indicate connecting and interconnecting electrical and control work.</w:t>
      </w:r>
    </w:p>
    <w:p w14:paraId="5ECB2922" w14:textId="77777777" w:rsidR="00FA2DB3" w:rsidRDefault="00FA2DB3">
      <w:pPr>
        <w:pStyle w:val="Heading2"/>
        <w:spacing w:before="240"/>
      </w:pPr>
      <w:bookmarkStart w:id="13" w:name="_Toc178382521"/>
      <w:r>
        <w:t>TRANSFER OF PRODUCTS</w:t>
      </w:r>
      <w:bookmarkEnd w:id="13"/>
    </w:p>
    <w:p w14:paraId="32F5F4F0" w14:textId="77777777" w:rsidR="00FA2DB3" w:rsidRDefault="00CA4FB3">
      <w:pPr>
        <w:pStyle w:val="Heading3"/>
      </w:pPr>
      <w:r>
        <w:t>I</w:t>
      </w:r>
      <w:r w:rsidR="00FA2DB3">
        <w:t xml:space="preserve">tems will be </w:t>
      </w:r>
      <w:r w:rsidR="00524082" w:rsidRPr="00524082">
        <w:t xml:space="preserve">stored </w:t>
      </w:r>
      <w:r>
        <w:t xml:space="preserve">at the </w:t>
      </w:r>
      <w:r w:rsidR="00FD3200">
        <w:t>Supplier</w:t>
      </w:r>
      <w:r>
        <w:t>’s warehouse</w:t>
      </w:r>
      <w:r w:rsidR="002E5DB5">
        <w:t xml:space="preserve"> </w:t>
      </w:r>
      <w:r w:rsidR="00524082" w:rsidRPr="00524082">
        <w:t>until Contractor is ready for pick up</w:t>
      </w:r>
      <w:r w:rsidR="00FA2DB3">
        <w:t>.</w:t>
      </w:r>
    </w:p>
    <w:p w14:paraId="20C27122" w14:textId="77777777" w:rsidR="00FA2DB3" w:rsidRDefault="007C2D7C">
      <w:pPr>
        <w:pStyle w:val="Heading3"/>
      </w:pPr>
      <w:r>
        <w:t>Prior to loading</w:t>
      </w:r>
      <w:r w:rsidR="00FA2DB3">
        <w:t>, conduct with Owner</w:t>
      </w:r>
      <w:r w:rsidR="008027A3">
        <w:t>,</w:t>
      </w:r>
      <w:r w:rsidR="00FA2DB3">
        <w:t xml:space="preserve"> Engineer </w:t>
      </w:r>
      <w:r>
        <w:t xml:space="preserve">and Supplier </w:t>
      </w:r>
      <w:r w:rsidR="00FA2DB3">
        <w:t xml:space="preserve">a joint inspection for the purpose of identifying product, general verification of quantities, and observation of apparent condition. </w:t>
      </w:r>
    </w:p>
    <w:p w14:paraId="5E7AE5F0" w14:textId="77777777" w:rsidR="00FA2DB3" w:rsidRDefault="00524082">
      <w:pPr>
        <w:pStyle w:val="Heading3"/>
      </w:pPr>
      <w:r w:rsidRPr="00524082">
        <w:t>Do not load</w:t>
      </w:r>
      <w:r w:rsidR="008027A3">
        <w:rPr>
          <w:rFonts w:ascii="Arial" w:hAnsi="Arial" w:cs="Arial"/>
        </w:rPr>
        <w:t xml:space="preserve"> </w:t>
      </w:r>
      <w:r w:rsidR="008027A3">
        <w:t>d</w:t>
      </w:r>
      <w:r w:rsidR="00FA2DB3">
        <w:t xml:space="preserve">amaged or incomplete products. </w:t>
      </w:r>
    </w:p>
    <w:p w14:paraId="2BD4180F" w14:textId="77777777" w:rsidR="00FA2DB3" w:rsidRDefault="00FA2DB3">
      <w:pPr>
        <w:pStyle w:val="Heading3"/>
      </w:pPr>
      <w:r>
        <w:t>Indicate signed acceptance of delivery on the</w:t>
      </w:r>
      <w:r w:rsidR="00CA4FB3">
        <w:t xml:space="preserve"> transfer form</w:t>
      </w:r>
      <w:r w:rsidR="007C2D7C">
        <w:t xml:space="preserve"> provided by the Engineer</w:t>
      </w:r>
      <w:r w:rsidR="00CA4FB3">
        <w:t>.</w:t>
      </w:r>
    </w:p>
    <w:p w14:paraId="02ABB232" w14:textId="77777777" w:rsidR="00FA2DB3" w:rsidRDefault="00524082">
      <w:pPr>
        <w:pStyle w:val="Heading3"/>
      </w:pPr>
      <w:r w:rsidRPr="00524082">
        <w:t>Following transfer,</w:t>
      </w:r>
      <w:r w:rsidR="008027A3" w:rsidRPr="00914467">
        <w:rPr>
          <w:rFonts w:ascii="Arial" w:hAnsi="Arial" w:cs="Arial"/>
        </w:rPr>
        <w:t xml:space="preserve"> </w:t>
      </w:r>
      <w:r w:rsidR="008027A3">
        <w:t>p</w:t>
      </w:r>
      <w:r w:rsidR="00CA4FB3">
        <w:t>rovide insurance for the Owner-</w:t>
      </w:r>
      <w:r w:rsidR="00D76861">
        <w:t>f</w:t>
      </w:r>
      <w:r w:rsidR="00CA4FB3">
        <w:t>urnished products up</w:t>
      </w:r>
      <w:r w:rsidR="0034033A">
        <w:t> </w:t>
      </w:r>
      <w:r w:rsidR="00CA4FB3">
        <w:t>to the time of Final Acceptance by the</w:t>
      </w:r>
      <w:r w:rsidR="007C40CD">
        <w:t xml:space="preserve"> Owner</w:t>
      </w:r>
      <w:r w:rsidR="00A32D5E">
        <w:t>.</w:t>
      </w:r>
      <w:r w:rsidR="007C40CD">
        <w:t xml:space="preserve"> Estimated</w:t>
      </w:r>
      <w:r w:rsidR="00CA4FB3">
        <w:t xml:space="preserve"> values of the Owner</w:t>
      </w:r>
      <w:r w:rsidR="0034033A">
        <w:noBreakHyphen/>
      </w:r>
      <w:r w:rsidR="00CA4FB3">
        <w:t>Furnished products are include</w:t>
      </w:r>
      <w:r w:rsidR="007C40CD">
        <w:t>d in the Supplement to this section</w:t>
      </w:r>
      <w:r w:rsidR="00CA4FB3">
        <w:t>.</w:t>
      </w:r>
    </w:p>
    <w:p w14:paraId="0FDFEB3A" w14:textId="77777777" w:rsidR="00FA2DB3" w:rsidRDefault="007B13E2">
      <w:pPr>
        <w:pStyle w:val="Heading2"/>
      </w:pPr>
      <w:bookmarkStart w:id="14" w:name="_Toc178382522"/>
      <w:r>
        <w:t xml:space="preserve">Loading, transporting, </w:t>
      </w:r>
      <w:r w:rsidR="00FA2DB3">
        <w:t>UNLOADING, STORAGE</w:t>
      </w:r>
      <w:r w:rsidR="002472EA">
        <w:t>,</w:t>
      </w:r>
      <w:r w:rsidR="00FA2DB3">
        <w:t xml:space="preserve"> AND MAINTENANCE</w:t>
      </w:r>
      <w:bookmarkEnd w:id="14"/>
    </w:p>
    <w:p w14:paraId="1C4FD95B" w14:textId="77777777" w:rsidR="007B13E2" w:rsidRDefault="007B13E2">
      <w:pPr>
        <w:pStyle w:val="Heading3"/>
      </w:pPr>
      <w:r>
        <w:t xml:space="preserve">Supplier will </w:t>
      </w:r>
      <w:r w:rsidR="00DC1C2E">
        <w:t>have</w:t>
      </w:r>
      <w:r>
        <w:t xml:space="preserve"> hoisting equipment available at Supplier’s warehouse to load </w:t>
      </w:r>
      <w:r w:rsidR="00DC1C2E">
        <w:t>generators.</w:t>
      </w:r>
    </w:p>
    <w:p w14:paraId="3E5234E7" w14:textId="77777777" w:rsidR="007B13E2" w:rsidRDefault="007B13E2">
      <w:pPr>
        <w:pStyle w:val="Heading3"/>
      </w:pPr>
      <w:r>
        <w:t xml:space="preserve">Contractor shall secure equipment on the truck and transport to the appropriate </w:t>
      </w:r>
      <w:r w:rsidR="006A07EA">
        <w:t>site</w:t>
      </w:r>
      <w:r w:rsidR="008027A3">
        <w:t>(</w:t>
      </w:r>
      <w:r w:rsidR="006A07EA">
        <w:t>s</w:t>
      </w:r>
      <w:r w:rsidR="008027A3">
        <w:t>)</w:t>
      </w:r>
      <w:r>
        <w:t>.</w:t>
      </w:r>
    </w:p>
    <w:p w14:paraId="72C44846" w14:textId="77777777" w:rsidR="00FA2DB3" w:rsidRDefault="00FA2DB3">
      <w:pPr>
        <w:pStyle w:val="Heading3"/>
      </w:pPr>
      <w:r>
        <w:t>Subsequent to transfer, Contractor shall have complete responsibility for unloading Owner</w:t>
      </w:r>
      <w:r w:rsidR="00844342">
        <w:t>-</w:t>
      </w:r>
      <w:r>
        <w:t>furnished products</w:t>
      </w:r>
      <w:r w:rsidR="008169E6">
        <w:t xml:space="preserve"> at the pump station </w:t>
      </w:r>
      <w:r w:rsidR="00DC1C2E">
        <w:t>s</w:t>
      </w:r>
      <w:r w:rsidR="006A07EA">
        <w:t>ites</w:t>
      </w:r>
      <w:r>
        <w:t>. Unload product in accordance with manufacturers’ instructions.</w:t>
      </w:r>
    </w:p>
    <w:p w14:paraId="6F1594C5" w14:textId="77777777" w:rsidR="00FA2DB3" w:rsidRDefault="00FA2DB3">
      <w:pPr>
        <w:pStyle w:val="Heading3"/>
      </w:pPr>
      <w:r>
        <w:t>Store, protect, and maintain product to prevent damage until final acceptance of completed work. Damage to or loss of products after date of transfer to Contractor shall be repaired to original condition, or replaced with new identical products, at the discretion of Engineer.</w:t>
      </w:r>
    </w:p>
    <w:p w14:paraId="29F946C6" w14:textId="77777777" w:rsidR="00FA2DB3" w:rsidRDefault="00FA2DB3">
      <w:pPr>
        <w:pStyle w:val="Heading3"/>
      </w:pPr>
      <w:r>
        <w:t>Maintain inventory of Owner</w:t>
      </w:r>
      <w:r w:rsidR="00844342">
        <w:t>-</w:t>
      </w:r>
      <w:r>
        <w:t>furnished products after transfer</w:t>
      </w:r>
      <w:r w:rsidR="008027A3">
        <w:t>red</w:t>
      </w:r>
      <w:r>
        <w:t xml:space="preserve"> to Contractor.</w:t>
      </w:r>
    </w:p>
    <w:p w14:paraId="5B1CE17C" w14:textId="77777777" w:rsidR="00FD36D8" w:rsidRDefault="00FA2DB3">
      <w:pPr>
        <w:pStyle w:val="Heading2"/>
      </w:pPr>
      <w:bookmarkStart w:id="15" w:name="_Toc178382523"/>
      <w:r>
        <w:lastRenderedPageBreak/>
        <w:t>SCHEDULING</w:t>
      </w:r>
    </w:p>
    <w:p w14:paraId="7E033DCA" w14:textId="77777777" w:rsidR="00752980" w:rsidRDefault="00752980" w:rsidP="00752980">
      <w:pPr>
        <w:pStyle w:val="Heading3"/>
      </w:pPr>
      <w:r>
        <w:t>Owner will keep Contractor informed of probable delivery dates to the Supplier’s warehouse.</w:t>
      </w:r>
    </w:p>
    <w:p w14:paraId="5D66763A" w14:textId="77777777" w:rsidR="00752980" w:rsidRPr="00752980" w:rsidRDefault="00752980" w:rsidP="00752980">
      <w:pPr>
        <w:pStyle w:val="Heading3"/>
      </w:pPr>
      <w:r>
        <w:t xml:space="preserve">Owner will confirm transfer date with Contractor </w:t>
      </w:r>
      <w:r w:rsidRPr="00CA4FB3">
        <w:t>10</w:t>
      </w:r>
      <w:r>
        <w:t> days prior to scheduled transfer.</w:t>
      </w:r>
    </w:p>
    <w:bookmarkEnd w:id="15"/>
    <w:p w14:paraId="3ED2750C" w14:textId="77777777" w:rsidR="00FA2DB3" w:rsidRDefault="00FA2DB3">
      <w:pPr>
        <w:pStyle w:val="Heading3"/>
      </w:pPr>
      <w:r>
        <w:t xml:space="preserve">Provide a minimum of </w:t>
      </w:r>
      <w:r w:rsidR="00CA4FB3" w:rsidRPr="00CA4FB3">
        <w:t>10</w:t>
      </w:r>
      <w:r w:rsidR="00B64FD1">
        <w:t> </w:t>
      </w:r>
      <w:r>
        <w:t>days notice to Owner that Owner</w:t>
      </w:r>
      <w:r w:rsidR="00844342">
        <w:t>-</w:t>
      </w:r>
      <w:r>
        <w:t xml:space="preserve">furnished product is ready for all </w:t>
      </w:r>
      <w:r w:rsidR="00CB764D">
        <w:t>startup</w:t>
      </w:r>
      <w:r>
        <w:t xml:space="preserve"> services listed herein to be furnished by Owner through its contract with </w:t>
      </w:r>
      <w:r w:rsidR="00FD3200">
        <w:t>Supplier</w:t>
      </w:r>
      <w:r>
        <w:t xml:space="preserve">. </w:t>
      </w:r>
    </w:p>
    <w:p w14:paraId="2AE12F5E" w14:textId="77777777" w:rsidR="00FA2DB3" w:rsidRDefault="00FA2DB3">
      <w:pPr>
        <w:pStyle w:val="Heading2"/>
      </w:pPr>
      <w:bookmarkStart w:id="16" w:name="_Toc178382524"/>
      <w:r>
        <w:t>EXTRA MATERIALS</w:t>
      </w:r>
      <w:bookmarkEnd w:id="16"/>
    </w:p>
    <w:p w14:paraId="1BE2F31B" w14:textId="77777777" w:rsidR="00CA4FB3" w:rsidRDefault="00FA2DB3" w:rsidP="00CA4FB3">
      <w:pPr>
        <w:pStyle w:val="Heading3"/>
      </w:pPr>
      <w:r>
        <w:t>Unless otherwise specified, Owner will take acceptance of, and be responsible for storing associated extra materials and special tools upon delivery.</w:t>
      </w:r>
      <w:bookmarkStart w:id="17" w:name="_Toc328988916"/>
      <w:bookmarkStart w:id="18" w:name="_Toc329070505"/>
      <w:bookmarkStart w:id="19" w:name="_Toc178382526"/>
    </w:p>
    <w:p w14:paraId="6C9510FF" w14:textId="77777777" w:rsidR="00FA2DB3" w:rsidRDefault="00FA2DB3">
      <w:pPr>
        <w:pStyle w:val="Heading1"/>
      </w:pPr>
      <w:r>
        <w:t>PART 2</w:t>
      </w:r>
      <w:r>
        <w:tab/>
        <w:t>PRODUCTS</w:t>
      </w:r>
      <w:bookmarkEnd w:id="17"/>
      <w:bookmarkEnd w:id="18"/>
      <w:r>
        <w:t xml:space="preserve"> (NOT USED)</w:t>
      </w:r>
      <w:bookmarkEnd w:id="19"/>
    </w:p>
    <w:p w14:paraId="2DB9FDB3" w14:textId="77777777" w:rsidR="00FA2DB3" w:rsidRDefault="00FA2DB3">
      <w:pPr>
        <w:pStyle w:val="Heading1"/>
      </w:pPr>
      <w:bookmarkStart w:id="20" w:name="_Toc328988920"/>
      <w:bookmarkStart w:id="21" w:name="_Toc329070509"/>
      <w:bookmarkStart w:id="22" w:name="_Toc178382527"/>
      <w:r>
        <w:t>PART 3</w:t>
      </w:r>
      <w:r>
        <w:tab/>
        <w:t>EXECUTION</w:t>
      </w:r>
      <w:bookmarkEnd w:id="20"/>
      <w:bookmarkEnd w:id="21"/>
      <w:bookmarkEnd w:id="22"/>
    </w:p>
    <w:p w14:paraId="534687A1" w14:textId="77777777" w:rsidR="00A539C7" w:rsidRDefault="00A539C7" w:rsidP="00A539C7">
      <w:pPr>
        <w:pStyle w:val="Heading2"/>
      </w:pPr>
      <w:bookmarkStart w:id="23" w:name="_Toc178382528"/>
      <w:r>
        <w:t>WorK Sequencing restraints</w:t>
      </w:r>
    </w:p>
    <w:p w14:paraId="53CE0FE4" w14:textId="77777777" w:rsidR="00A539C7" w:rsidRDefault="00A539C7" w:rsidP="00A539C7">
      <w:pPr>
        <w:pStyle w:val="Heading3"/>
      </w:pPr>
      <w:r>
        <w:t xml:space="preserve">Prior to picking up and transporting the Owner-Furnished engine-generator to a particular site, the Contractor shall have completed certain elements of the work at that particular site.  The purpose of this sequencing restraint is to minimize the time a generator sits at a pump station site prior to its startup.  The elements of the Work to be completed are listed below.  This sequencing restraint will require that the automatic transfer switch for a particular site will need to be obtained from the Supplier’s warehouse prior to the engine- generator, and the Contractor shall factor this into the sequencing of the Work. </w:t>
      </w:r>
    </w:p>
    <w:p w14:paraId="234486F4" w14:textId="77777777" w:rsidR="00A539C7" w:rsidRDefault="00A539C7" w:rsidP="00A539C7">
      <w:pPr>
        <w:pStyle w:val="Heading4"/>
      </w:pPr>
      <w:r>
        <w:t>Raise the Site grade, if required at a particular site, and complete other required earthwork and paving, walk, or drive repair.</w:t>
      </w:r>
    </w:p>
    <w:p w14:paraId="16FA126A" w14:textId="77777777" w:rsidR="00A539C7" w:rsidRDefault="00A539C7" w:rsidP="00A539C7">
      <w:pPr>
        <w:pStyle w:val="Heading4"/>
      </w:pPr>
      <w:r>
        <w:t>Pour and cure the concrete foundation for the engine-generator, or construct the steel platform for the generator, if that is required for a particular site.  Handrails, if required for a foundation, may be installed after the generator is installed.</w:t>
      </w:r>
    </w:p>
    <w:p w14:paraId="12A122D5" w14:textId="77777777" w:rsidR="00A539C7" w:rsidRDefault="00A539C7" w:rsidP="00A539C7">
      <w:pPr>
        <w:pStyle w:val="Heading4"/>
      </w:pPr>
      <w:r>
        <w:t xml:space="preserve">Install or modify the fence at the Site, including gate installation.  If required for access, a portion of the fence may be left down, but the fence shall be installed, at least temporarily, by the end of the day on which the generator is place on the foundation. </w:t>
      </w:r>
    </w:p>
    <w:p w14:paraId="4AC2134E" w14:textId="77777777" w:rsidR="00A539C7" w:rsidRDefault="00A539C7" w:rsidP="00A539C7">
      <w:pPr>
        <w:pStyle w:val="Heading4"/>
      </w:pPr>
      <w:r>
        <w:t>Complete the modifications to the electrical service, as shown on the General Electrical Installation detail for the particular site, including installation of the automatic transfer, and restore the normal power service to the power station through the modified electrical service.</w:t>
      </w:r>
    </w:p>
    <w:p w14:paraId="126B6D95" w14:textId="77777777" w:rsidR="00A539C7" w:rsidRDefault="00A539C7" w:rsidP="00A539C7">
      <w:pPr>
        <w:pStyle w:val="Heading4"/>
      </w:pPr>
      <w:r>
        <w:t xml:space="preserve">Install the required conduit runs from the electrical service and automatic transfer switch to the generator location.  Stub up and </w:t>
      </w:r>
      <w:r>
        <w:lastRenderedPageBreak/>
        <w:t>temporarily cap prior to setting the generator.  Connection of conduits to the generator and pulling of conductors to and termination of conductors at the generator shall be completed after the generator is set on its foundation.</w:t>
      </w:r>
    </w:p>
    <w:p w14:paraId="3E57A33A" w14:textId="77777777" w:rsidR="00366D6D" w:rsidRDefault="00366D6D">
      <w:pPr>
        <w:pStyle w:val="Heading4"/>
        <w:numPr>
          <w:ilvl w:val="0"/>
          <w:numId w:val="0"/>
        </w:numPr>
        <w:ind w:left="2016"/>
      </w:pPr>
    </w:p>
    <w:p w14:paraId="431DC774" w14:textId="77777777" w:rsidR="00FA2DB3" w:rsidRDefault="00FA2DB3">
      <w:pPr>
        <w:pStyle w:val="Heading2"/>
      </w:pPr>
      <w:r>
        <w:t>INSTALLATION</w:t>
      </w:r>
      <w:bookmarkEnd w:id="23"/>
    </w:p>
    <w:p w14:paraId="68798FBE" w14:textId="77777777" w:rsidR="00FA2DB3" w:rsidRDefault="00FA2DB3">
      <w:pPr>
        <w:pStyle w:val="Heading3"/>
      </w:pPr>
      <w:r>
        <w:t>Install products in conformance with Owner</w:t>
      </w:r>
      <w:r w:rsidR="00844342">
        <w:t>-</w:t>
      </w:r>
      <w:r>
        <w:t>furnished product shop drawings and installation instructions</w:t>
      </w:r>
      <w:r w:rsidR="00C47DC4">
        <w:t xml:space="preserve"> provided as a Supplement at the end of this section</w:t>
      </w:r>
      <w:r>
        <w:t>.</w:t>
      </w:r>
    </w:p>
    <w:p w14:paraId="1A8C6DBA" w14:textId="77777777" w:rsidR="00FA2DB3" w:rsidRDefault="00FA2DB3">
      <w:pPr>
        <w:pStyle w:val="Heading3"/>
      </w:pPr>
      <w:r>
        <w:t>Provide interconnecting structures, equipment, piping, electrical and instrumentation work, finish painting, and appurtenances to achieve a complete and functional system.</w:t>
      </w:r>
    </w:p>
    <w:p w14:paraId="185A3C29" w14:textId="77777777" w:rsidR="00FA2DB3" w:rsidRDefault="00FA2DB3">
      <w:pPr>
        <w:pStyle w:val="Heading3"/>
      </w:pPr>
      <w:r>
        <w:t>Provide foundation pads for Owner</w:t>
      </w:r>
      <w:r w:rsidR="00844342">
        <w:t>-</w:t>
      </w:r>
      <w:r>
        <w:t>furnished products as shown</w:t>
      </w:r>
      <w:r w:rsidR="008027A3">
        <w:t xml:space="preserve"> on the Drawings</w:t>
      </w:r>
      <w:r>
        <w:t>. Verify dimensions and configuration of pads, including penetrations, with Owner</w:t>
      </w:r>
      <w:r w:rsidR="006A07EA">
        <w:noBreakHyphen/>
      </w:r>
      <w:r>
        <w:t xml:space="preserve">furnished product </w:t>
      </w:r>
      <w:r w:rsidR="00B972A2">
        <w:t>Shop Drawings</w:t>
      </w:r>
      <w:r>
        <w:t>.</w:t>
      </w:r>
    </w:p>
    <w:p w14:paraId="58C29E3A" w14:textId="77777777" w:rsidR="00FA2DB3" w:rsidRDefault="00FA2DB3" w:rsidP="00A5009B">
      <w:pPr>
        <w:pStyle w:val="Heading3"/>
        <w:keepNext/>
        <w:keepLines/>
      </w:pPr>
      <w:r>
        <w:t>Anchor Bolts:</w:t>
      </w:r>
    </w:p>
    <w:p w14:paraId="3D3CECCA" w14:textId="77777777" w:rsidR="00FA2DB3" w:rsidRDefault="00FA2DB3" w:rsidP="00A5009B">
      <w:pPr>
        <w:pStyle w:val="Heading4"/>
        <w:keepNext/>
        <w:keepLines/>
      </w:pPr>
      <w:r>
        <w:t xml:space="preserve">Where required, provide anchor bolts, fasteners, washers, and templates </w:t>
      </w:r>
      <w:r w:rsidR="004A56BE">
        <w:t xml:space="preserve">required </w:t>
      </w:r>
      <w:r>
        <w:t>for installation of Owner</w:t>
      </w:r>
      <w:r w:rsidR="00844342">
        <w:t>-</w:t>
      </w:r>
      <w:r>
        <w:t xml:space="preserve">furnished </w:t>
      </w:r>
      <w:r w:rsidR="004A56BE">
        <w:t>products</w:t>
      </w:r>
      <w:r>
        <w:t>.</w:t>
      </w:r>
    </w:p>
    <w:p w14:paraId="6554D36D" w14:textId="77777777" w:rsidR="00FA2DB3" w:rsidRDefault="00FA2DB3">
      <w:pPr>
        <w:pStyle w:val="Heading4"/>
      </w:pPr>
      <w:r>
        <w:t>Size and locate anchor bolts in accordance with Owner</w:t>
      </w:r>
      <w:r w:rsidR="00844342">
        <w:t>-</w:t>
      </w:r>
      <w:r>
        <w:t xml:space="preserve">furnished product </w:t>
      </w:r>
      <w:r w:rsidR="00B972A2">
        <w:t>Shop Drawings</w:t>
      </w:r>
      <w:r>
        <w:t xml:space="preserve"> and installation instructions</w:t>
      </w:r>
      <w:r w:rsidR="00C47DC4">
        <w:t xml:space="preserve"> provided as a Supplement at the end of this section</w:t>
      </w:r>
      <w:r>
        <w:t>.</w:t>
      </w:r>
    </w:p>
    <w:p w14:paraId="023FF8D5" w14:textId="77777777" w:rsidR="00FA2DB3" w:rsidRDefault="00FA2DB3">
      <w:pPr>
        <w:pStyle w:val="Heading3"/>
        <w:spacing w:before="240"/>
      </w:pPr>
      <w:r>
        <w:t>Mechanical and electrical equipment shall be properly aligned, plumb and level, with no stresses on connecting piping or conduit.</w:t>
      </w:r>
    </w:p>
    <w:p w14:paraId="6B39BCFF" w14:textId="77777777" w:rsidR="00CA4FB3" w:rsidRDefault="00CA4FB3" w:rsidP="007B2FDF">
      <w:pPr>
        <w:pStyle w:val="Heading3"/>
        <w:keepNext/>
        <w:keepLines/>
      </w:pPr>
      <w:r>
        <w:t>Install vibration insulators when finished with Owner-Furnished products.</w:t>
      </w:r>
    </w:p>
    <w:p w14:paraId="211476A1" w14:textId="77777777" w:rsidR="00FA2DB3" w:rsidRDefault="00FA2DB3" w:rsidP="00CA4FB3">
      <w:pPr>
        <w:pStyle w:val="Heading3"/>
      </w:pPr>
      <w:r>
        <w:t>Verify operability and safety of electrical system needed to operate equipment. Check electrical system for continuity, phasing, grounding, and proper functions.</w:t>
      </w:r>
    </w:p>
    <w:p w14:paraId="2917CFF0" w14:textId="77777777" w:rsidR="00FA2DB3" w:rsidRDefault="00FA2DB3" w:rsidP="00CA4FB3">
      <w:pPr>
        <w:pStyle w:val="Heading2"/>
      </w:pPr>
      <w:bookmarkStart w:id="24" w:name="_Toc178382529"/>
      <w:r>
        <w:t>FIELD FINISHING</w:t>
      </w:r>
      <w:bookmarkEnd w:id="24"/>
    </w:p>
    <w:p w14:paraId="1190EEAD" w14:textId="77777777" w:rsidR="00FA2DB3" w:rsidRDefault="00FA2DB3" w:rsidP="00CA4FB3">
      <w:pPr>
        <w:pStyle w:val="Heading3"/>
      </w:pPr>
      <w:r>
        <w:t xml:space="preserve">Products will be delivered with prime </w:t>
      </w:r>
      <w:r w:rsidR="00CA4FB3" w:rsidRPr="00CA4FB3">
        <w:t>and finish</w:t>
      </w:r>
      <w:r>
        <w:t xml:space="preserve"> coat(s) applied.</w:t>
      </w:r>
    </w:p>
    <w:p w14:paraId="00211714" w14:textId="77777777" w:rsidR="00FA2DB3" w:rsidRDefault="00FA2DB3">
      <w:pPr>
        <w:pStyle w:val="Heading4"/>
      </w:pPr>
      <w:r>
        <w:t>Touchup or repair damage to coatings resulting from unloading, storage, installation, testing, and startup.</w:t>
      </w:r>
    </w:p>
    <w:p w14:paraId="107EFE89" w14:textId="77777777" w:rsidR="00FA2DB3" w:rsidRDefault="00FA2DB3">
      <w:pPr>
        <w:pStyle w:val="Heading4"/>
      </w:pPr>
      <w:r>
        <w:t>If finish coats are damaged extensively after transfer, completely repaint.</w:t>
      </w:r>
    </w:p>
    <w:p w14:paraId="72F77DF2" w14:textId="77777777" w:rsidR="00FA2DB3" w:rsidRDefault="00FA2DB3">
      <w:pPr>
        <w:pStyle w:val="Heading4"/>
      </w:pPr>
      <w:r>
        <w:t>Touchup, repair, or complete repainting shall match color of original paint, and shall be fully compatible with applied primers and finish.</w:t>
      </w:r>
    </w:p>
    <w:p w14:paraId="1BA7B39E" w14:textId="77777777" w:rsidR="00FA2DB3" w:rsidRDefault="00FA2DB3">
      <w:pPr>
        <w:pStyle w:val="Heading2"/>
        <w:spacing w:before="240"/>
      </w:pPr>
      <w:bookmarkStart w:id="25" w:name="_Toc178382530"/>
      <w:r>
        <w:lastRenderedPageBreak/>
        <w:t xml:space="preserve">PRODUCT </w:t>
      </w:r>
      <w:r w:rsidR="004969B1">
        <w:fldChar w:fldCharType="begin"/>
      </w:r>
      <w:r w:rsidR="00524082">
        <w:instrText xml:space="preserve">seq level1 \h \r0 </w:instrText>
      </w:r>
      <w:r w:rsidR="004969B1">
        <w:fldChar w:fldCharType="end"/>
      </w:r>
      <w:r w:rsidR="004969B1">
        <w:fldChar w:fldCharType="begin"/>
      </w:r>
      <w:r w:rsidR="00524082">
        <w:instrText xml:space="preserve">seq level2 \h \r0 </w:instrText>
      </w:r>
      <w:r w:rsidR="004969B1">
        <w:fldChar w:fldCharType="end"/>
      </w:r>
      <w:r>
        <w:t>PROTECTION</w:t>
      </w:r>
      <w:bookmarkEnd w:id="25"/>
    </w:p>
    <w:p w14:paraId="0BA28673" w14:textId="77777777" w:rsidR="00FA2DB3" w:rsidRDefault="00FA2DB3" w:rsidP="00AD01D9">
      <w:pPr>
        <w:pStyle w:val="Heading3"/>
        <w:spacing w:after="120"/>
      </w:pPr>
      <w:r>
        <w:t>Immediately after installation, lubricate components in accordance with manufacturer’s instructions.</w:t>
      </w:r>
    </w:p>
    <w:p w14:paraId="750C9947" w14:textId="77777777" w:rsidR="00FA2DB3" w:rsidRDefault="00FA2DB3" w:rsidP="00AD01D9">
      <w:pPr>
        <w:pStyle w:val="Heading3"/>
        <w:spacing w:after="120"/>
      </w:pPr>
      <w:r>
        <w:t>Follow manufacturer’s instructions for protection and maintenance during storage, after installation</w:t>
      </w:r>
      <w:r w:rsidR="004A56BE">
        <w:t>, during</w:t>
      </w:r>
      <w:r>
        <w:t xml:space="preserve"> testing and startup, and after startup but prior to acceptance.</w:t>
      </w:r>
    </w:p>
    <w:p w14:paraId="7F613F23" w14:textId="77777777" w:rsidR="00FA2DB3" w:rsidRDefault="00FA2DB3" w:rsidP="00AD01D9">
      <w:pPr>
        <w:pStyle w:val="Heading3"/>
        <w:spacing w:after="120"/>
      </w:pPr>
      <w:r>
        <w:t>Furnish incidental supplies including lubricants, cleaning fluids, and similar products as needed for protecting and maintaining the Owner-furnished products.</w:t>
      </w:r>
    </w:p>
    <w:p w14:paraId="50C015C7" w14:textId="77777777" w:rsidR="00FA2DB3" w:rsidRDefault="00FD3200">
      <w:pPr>
        <w:pStyle w:val="Heading3"/>
      </w:pPr>
      <w:r>
        <w:t>Supplier</w:t>
      </w:r>
      <w:r w:rsidR="00B8038B">
        <w:t xml:space="preserve"> will furnish </w:t>
      </w:r>
      <w:r w:rsidR="00D76861">
        <w:t>d</w:t>
      </w:r>
      <w:r w:rsidR="00B8038B">
        <w:t xml:space="preserve">iesel fuel for </w:t>
      </w:r>
      <w:r w:rsidR="004A56BE">
        <w:t>generator during</w:t>
      </w:r>
      <w:r w:rsidR="00B8038B">
        <w:t xml:space="preserve"> startup. Contractor </w:t>
      </w:r>
      <w:r w:rsidR="004A56BE">
        <w:t xml:space="preserve">shall </w:t>
      </w:r>
      <w:r w:rsidR="00B8038B">
        <w:t xml:space="preserve">furnish </w:t>
      </w:r>
      <w:r w:rsidR="00D76861">
        <w:t>d</w:t>
      </w:r>
      <w:r w:rsidR="00B8038B">
        <w:t>iesel fuel needed</w:t>
      </w:r>
      <w:r w:rsidR="0034033A">
        <w:t xml:space="preserve"> </w:t>
      </w:r>
      <w:r w:rsidR="00B8038B">
        <w:t xml:space="preserve">to run unit during </w:t>
      </w:r>
      <w:r w:rsidR="004A56BE">
        <w:t xml:space="preserve">onsite </w:t>
      </w:r>
      <w:r w:rsidR="00B8038B">
        <w:t>storage prior to startup.</w:t>
      </w:r>
    </w:p>
    <w:p w14:paraId="74105B11" w14:textId="77777777" w:rsidR="00FA2DB3" w:rsidRDefault="00FA2DB3" w:rsidP="0034033A">
      <w:pPr>
        <w:pStyle w:val="Heading2"/>
      </w:pPr>
      <w:bookmarkStart w:id="26" w:name="_Toc330630878"/>
      <w:bookmarkStart w:id="27" w:name="_Toc529322381"/>
      <w:bookmarkStart w:id="28" w:name="_Toc178382531"/>
      <w:r>
        <w:t>TESTS AND INSPECTION</w:t>
      </w:r>
      <w:bookmarkEnd w:id="26"/>
      <w:bookmarkEnd w:id="27"/>
      <w:bookmarkEnd w:id="28"/>
    </w:p>
    <w:p w14:paraId="32828AF8" w14:textId="77777777" w:rsidR="00FA2DB3" w:rsidRDefault="004A56BE" w:rsidP="00AD01D9">
      <w:pPr>
        <w:pStyle w:val="Heading3"/>
        <w:keepNext/>
        <w:spacing w:after="0"/>
      </w:pPr>
      <w:r>
        <w:t>T</w:t>
      </w:r>
      <w:r w:rsidR="00FA2DB3">
        <w:t>ests and inspections of installed products</w:t>
      </w:r>
      <w:r>
        <w:t xml:space="preserve"> shall be</w:t>
      </w:r>
      <w:r w:rsidR="00FA2DB3">
        <w:t xml:space="preserve"> in accordance with requirements shown </w:t>
      </w:r>
      <w:r>
        <w:t>below</w:t>
      </w:r>
      <w:r w:rsidR="00B8038B">
        <w:t>.</w:t>
      </w:r>
      <w:r w:rsidR="00FA2DB3">
        <w:t xml:space="preserve"> </w:t>
      </w:r>
    </w:p>
    <w:p w14:paraId="551A263B" w14:textId="77777777" w:rsidR="00B8038B" w:rsidRDefault="00FD3200">
      <w:pPr>
        <w:pStyle w:val="Heading4"/>
      </w:pPr>
      <w:r>
        <w:t>Supplier</w:t>
      </w:r>
      <w:r w:rsidR="00B8038B">
        <w:t xml:space="preserve"> </w:t>
      </w:r>
      <w:r w:rsidR="004A56BE">
        <w:t xml:space="preserve">will </w:t>
      </w:r>
      <w:r w:rsidR="00B8038B">
        <w:t xml:space="preserve">inspect installation and issue a </w:t>
      </w:r>
      <w:r w:rsidR="00D76861">
        <w:t>C</w:t>
      </w:r>
      <w:r w:rsidR="00B8038B">
        <w:t>ertificate of Proper Installation prior to testing.</w:t>
      </w:r>
      <w:r w:rsidR="0034033A">
        <w:t xml:space="preserve"> Contractor </w:t>
      </w:r>
      <w:r w:rsidR="004A56BE">
        <w:t xml:space="preserve">shall </w:t>
      </w:r>
      <w:r w:rsidR="0034033A">
        <w:t>remed</w:t>
      </w:r>
      <w:r w:rsidR="007C40CD">
        <w:t>y deficiencies noted by Supplier associated with the work performed by the Contractor.</w:t>
      </w:r>
    </w:p>
    <w:p w14:paraId="673992FA" w14:textId="77777777" w:rsidR="00FA2DB3" w:rsidRDefault="00B8038B">
      <w:pPr>
        <w:pStyle w:val="Heading4"/>
      </w:pPr>
      <w:r>
        <w:t>Functional Test:</w:t>
      </w:r>
      <w:r w:rsidR="00FA2DB3">
        <w:t xml:space="preserve"> </w:t>
      </w:r>
      <w:r w:rsidR="004A56BE">
        <w:t xml:space="preserve">Assist </w:t>
      </w:r>
      <w:r w:rsidR="00FD3200">
        <w:t>Supplier</w:t>
      </w:r>
      <w:r>
        <w:t xml:space="preserve"> </w:t>
      </w:r>
      <w:r w:rsidR="00126BF9">
        <w:t>in performing</w:t>
      </w:r>
      <w:r>
        <w:t xml:space="preserve"> functional test to verify </w:t>
      </w:r>
      <w:r w:rsidR="00D76861">
        <w:t>generator</w:t>
      </w:r>
      <w:r>
        <w:t xml:space="preserve"> runs within its allowable limits, that unit</w:t>
      </w:r>
      <w:r w:rsidR="004A56BE">
        <w:t>’s</w:t>
      </w:r>
      <w:r>
        <w:t xml:space="preserve"> safety devices functi</w:t>
      </w:r>
      <w:r w:rsidR="00D76861">
        <w:t>on, and that automatic transfer switch transfers</w:t>
      </w:r>
      <w:r>
        <w:t xml:space="preserve"> the load to the generator on loss of utility power and back on restoration of power.</w:t>
      </w:r>
    </w:p>
    <w:p w14:paraId="26C87017" w14:textId="77777777" w:rsidR="00FA2DB3" w:rsidRDefault="00FA2DB3" w:rsidP="007B2FDF">
      <w:pPr>
        <w:pStyle w:val="Heading4"/>
        <w:keepNext/>
        <w:keepLines/>
      </w:pPr>
      <w:r>
        <w:t xml:space="preserve">Performance Test: </w:t>
      </w:r>
      <w:r w:rsidR="004A56BE">
        <w:t xml:space="preserve">Assist </w:t>
      </w:r>
      <w:r w:rsidR="00FD3200">
        <w:t>Supplier</w:t>
      </w:r>
      <w:r w:rsidR="00B8038B">
        <w:t xml:space="preserve"> </w:t>
      </w:r>
      <w:r w:rsidR="00126BF9">
        <w:t xml:space="preserve">in performing </w:t>
      </w:r>
      <w:r w:rsidR="00B8038B">
        <w:t>load cell test to verify rated output of generator and test to verify generator can power the installed load.</w:t>
      </w:r>
      <w:r w:rsidR="00126BF9">
        <w:t xml:space="preserve"> Supplier will supply and temporarily wire the load cell.</w:t>
      </w:r>
    </w:p>
    <w:p w14:paraId="7280F214" w14:textId="77777777" w:rsidR="00B8038B" w:rsidRDefault="0034033A">
      <w:pPr>
        <w:pStyle w:val="Heading4"/>
      </w:pPr>
      <w:r>
        <w:t xml:space="preserve">Contractor to provide assistance during testing to correct installation issues relating to the Contractor scope of </w:t>
      </w:r>
      <w:r w:rsidR="00D76861">
        <w:t>W</w:t>
      </w:r>
      <w:r>
        <w:t>ork. As a minimum, the Contractor’s electrician shall be present during the Functional Test and for the Performance Test until the generator is operating in a steady state.</w:t>
      </w:r>
    </w:p>
    <w:p w14:paraId="57D3CD4B" w14:textId="77777777" w:rsidR="00A5009B" w:rsidRDefault="00A5009B" w:rsidP="000B69C9">
      <w:pPr>
        <w:pStyle w:val="Heading2"/>
        <w:keepLines/>
        <w:spacing w:before="240"/>
      </w:pPr>
      <w:r>
        <w:t>SUPPLEMENTS</w:t>
      </w:r>
    </w:p>
    <w:p w14:paraId="7377A2F7" w14:textId="77777777" w:rsidR="00A5009B" w:rsidRDefault="00A5009B" w:rsidP="00A5009B">
      <w:pPr>
        <w:pStyle w:val="Heading3"/>
        <w:keepNext/>
        <w:keepLines/>
      </w:pPr>
      <w:r>
        <w:t>The supplement listed below, following “END OF SECTION,” is part of this Specification.</w:t>
      </w:r>
    </w:p>
    <w:p w14:paraId="4FB3CD13" w14:textId="77777777" w:rsidR="00C47DC4" w:rsidRDefault="00C47DC4" w:rsidP="00A5009B">
      <w:pPr>
        <w:pStyle w:val="Heading4"/>
      </w:pPr>
      <w:commentRangeStart w:id="29"/>
      <w:r>
        <w:t>Shop Drawings and Operation and Maintenance instructions for the Owner-furnished products.</w:t>
      </w:r>
      <w:commentRangeEnd w:id="29"/>
      <w:r>
        <w:rPr>
          <w:rStyle w:val="CommentReference"/>
        </w:rPr>
        <w:commentReference w:id="29"/>
      </w:r>
    </w:p>
    <w:p w14:paraId="3FCF28BF" w14:textId="77777777" w:rsidR="0013596C" w:rsidRDefault="006A07EA" w:rsidP="00A5009B">
      <w:pPr>
        <w:pStyle w:val="Heading4"/>
      </w:pPr>
      <w:commentRangeStart w:id="30"/>
      <w:r>
        <w:t>Estimated Equipment Value, Weight</w:t>
      </w:r>
      <w:r w:rsidR="00B972A2">
        <w:t>,</w:t>
      </w:r>
      <w:r>
        <w:t xml:space="preserve"> and Size</w:t>
      </w:r>
      <w:r w:rsidR="00A5009B">
        <w:t>.</w:t>
      </w:r>
      <w:commentRangeEnd w:id="30"/>
      <w:r w:rsidR="004A56BE">
        <w:rPr>
          <w:rStyle w:val="CommentReference"/>
        </w:rPr>
        <w:commentReference w:id="30"/>
      </w:r>
    </w:p>
    <w:p w14:paraId="095AEEDF" w14:textId="77777777" w:rsidR="002A22C1" w:rsidRPr="00AD01D9" w:rsidRDefault="00FA2DB3" w:rsidP="00AD01D9">
      <w:pPr>
        <w:pStyle w:val="SectionEnd"/>
        <w:spacing w:before="120"/>
      </w:pPr>
      <w:r>
        <w:t>END OF SECTION</w:t>
      </w:r>
    </w:p>
    <w:sectPr w:rsidR="002A22C1" w:rsidRPr="00AD01D9" w:rsidSect="00AD01D9">
      <w:headerReference w:type="even" r:id="rId10"/>
      <w:headerReference w:type="default" r:id="rId11"/>
      <w:footerReference w:type="even" r:id="rId12"/>
      <w:footerReference w:type="default" r:id="rId13"/>
      <w:endnotePr>
        <w:numFmt w:val="decimal"/>
      </w:endnotePr>
      <w:type w:val="oddPage"/>
      <w:pgSz w:w="12240" w:h="15840" w:code="1"/>
      <w:pgMar w:top="630" w:right="1440" w:bottom="630" w:left="1440" w:header="720" w:footer="720" w:gutter="360"/>
      <w:pgNumType w:start="1"/>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Jennifer Baldwin" w:date="2011-06-22T15:00:00Z" w:initials="JDB">
    <w:p w14:paraId="31B244E4" w14:textId="77777777" w:rsidR="008A2CE1" w:rsidRDefault="008A2CE1">
      <w:pPr>
        <w:pStyle w:val="CommentText"/>
      </w:pPr>
      <w:r>
        <w:rPr>
          <w:rStyle w:val="CommentReference"/>
        </w:rPr>
        <w:annotationRef/>
      </w:r>
      <w:r>
        <w:t>Engineer to modify this paragraph as necessary (list pump stations with generators larger than 500 kW). If no generators larger than 500 kW in specific project, then delete this paragraph.</w:t>
      </w:r>
    </w:p>
  </w:comment>
  <w:comment w:id="8" w:author="Jennifer Baldwin" w:date="2011-06-22T15:00:00Z" w:initials="JDB">
    <w:p w14:paraId="1F09AA35" w14:textId="77777777" w:rsidR="002E5DB5" w:rsidRDefault="002E5DB5">
      <w:pPr>
        <w:pStyle w:val="CommentText"/>
      </w:pPr>
      <w:r>
        <w:rPr>
          <w:rStyle w:val="CommentReference"/>
        </w:rPr>
        <w:annotationRef/>
      </w:r>
      <w:r w:rsidR="008A2CE1">
        <w:t>Engineer to</w:t>
      </w:r>
      <w:r>
        <w:t xml:space="preserve"> include generator submittals specific to this project as a Supplement to this spec.</w:t>
      </w:r>
    </w:p>
  </w:comment>
  <w:comment w:id="29" w:author="Jennifer Baldwin" w:date="2011-06-22T15:00:00Z" w:initials="JDB">
    <w:p w14:paraId="50D382C1" w14:textId="77777777" w:rsidR="00C47DC4" w:rsidRDefault="00C47DC4">
      <w:pPr>
        <w:pStyle w:val="CommentText"/>
      </w:pPr>
      <w:r>
        <w:rPr>
          <w:rStyle w:val="CommentReference"/>
        </w:rPr>
        <w:annotationRef/>
      </w:r>
      <w:r>
        <w:t>Insert shop drawings for each generator to be supplied for this project.</w:t>
      </w:r>
    </w:p>
  </w:comment>
  <w:comment w:id="30" w:author="Jennifer Baldwin" w:date="2011-06-22T15:00:00Z" w:initials="JDB">
    <w:p w14:paraId="5D4BF53C" w14:textId="77777777" w:rsidR="004A56BE" w:rsidRDefault="004A56BE">
      <w:pPr>
        <w:pStyle w:val="CommentText"/>
      </w:pPr>
      <w:r>
        <w:rPr>
          <w:rStyle w:val="CommentReference"/>
        </w:rPr>
        <w:annotationRef/>
      </w:r>
      <w:r>
        <w:t xml:space="preserve">Design engineer to add a table to list each pump station in the project, number of generators, weight, and size.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B244E4" w15:done="0"/>
  <w15:commentEx w15:paraId="1F09AA35" w15:done="0"/>
  <w15:commentEx w15:paraId="50D382C1" w15:done="0"/>
  <w15:commentEx w15:paraId="5D4BF53C" w15:done="0"/>
</w15:commentsEx>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2208F" w14:textId="77777777" w:rsidR="00C03026" w:rsidRDefault="00C03026">
      <w:pPr>
        <w:spacing w:line="20" w:lineRule="exact"/>
      </w:pPr>
    </w:p>
  </w:endnote>
  <w:endnote w:type="continuationSeparator" w:id="0">
    <w:p w14:paraId="6648B255" w14:textId="77777777" w:rsidR="00C03026" w:rsidRDefault="00C03026">
      <w:r>
        <w:t xml:space="preserve"> </w:t>
      </w:r>
    </w:p>
  </w:endnote>
  <w:endnote w:type="continuationNotice" w:id="1">
    <w:p w14:paraId="0A382D5F" w14:textId="77777777" w:rsidR="00C03026" w:rsidRDefault="00C030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02385" w14:textId="77777777" w:rsidR="00FF543D" w:rsidRDefault="00FF543D" w:rsidP="00297A98">
    <w:pPr>
      <w:pStyle w:val="Footer"/>
    </w:pPr>
  </w:p>
  <w:p w14:paraId="06DF654F" w14:textId="77777777" w:rsidR="00FF543D" w:rsidRDefault="00FF543D" w:rsidP="00297A98">
    <w:pPr>
      <w:pStyle w:val="Footer"/>
    </w:pPr>
    <w:r>
      <w:t>OWNER-FURNISHED PRODUCTS</w:t>
    </w:r>
    <w:r>
      <w:tab/>
      <w:t>350589.p4</w:t>
    </w:r>
  </w:p>
  <w:p w14:paraId="433E3FD2" w14:textId="77777777" w:rsidR="00FF543D" w:rsidRDefault="00FF543D" w:rsidP="00297A98">
    <w:pPr>
      <w:pStyle w:val="Footer"/>
    </w:pPr>
    <w:r>
      <w:t xml:space="preserve">01 64 00 - </w:t>
    </w:r>
    <w:r w:rsidR="004969B1">
      <w:rPr>
        <w:caps w:val="0"/>
      </w:rPr>
      <w:fldChar w:fldCharType="begin"/>
    </w:r>
    <w:r>
      <w:rPr>
        <w:caps w:val="0"/>
      </w:rPr>
      <w:instrText xml:space="preserve"> PAGE \* MERGEFORMAT </w:instrText>
    </w:r>
    <w:r w:rsidR="004969B1">
      <w:rPr>
        <w:caps w:val="0"/>
      </w:rPr>
      <w:fldChar w:fldCharType="separate"/>
    </w:r>
    <w:r w:rsidR="00C47B51">
      <w:rPr>
        <w:caps w:val="0"/>
        <w:noProof/>
      </w:rPr>
      <w:t>4</w:t>
    </w:r>
    <w:r w:rsidR="004969B1">
      <w:rPr>
        <w:caps w:val="0"/>
      </w:rPr>
      <w:fldChar w:fldCharType="end"/>
    </w:r>
    <w:r>
      <w:rPr>
        <w:caps w:val="0"/>
      </w:rPr>
      <w:tab/>
    </w:r>
    <w:r w:rsidR="00C03026">
      <w:fldChar w:fldCharType="begin"/>
    </w:r>
    <w:r w:rsidR="00C03026">
      <w:instrText>date \@ "MMMM d, yyyy"</w:instrText>
    </w:r>
    <w:r w:rsidR="00C03026">
      <w:fldChar w:fldCharType="separate"/>
    </w:r>
    <w:r w:rsidR="00C649A9">
      <w:rPr>
        <w:noProof/>
      </w:rPr>
      <w:t>December 2, 2013</w:t>
    </w:r>
    <w:r w:rsidR="00C0302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1E16D" w14:textId="77777777" w:rsidR="00FF543D" w:rsidRDefault="00FF543D" w:rsidP="00297A98">
    <w:pPr>
      <w:pStyle w:val="Footer"/>
    </w:pPr>
  </w:p>
  <w:p w14:paraId="7331F80C" w14:textId="77777777" w:rsidR="00FF543D" w:rsidRDefault="00FF543D" w:rsidP="00297A98">
    <w:pPr>
      <w:pStyle w:val="Footer"/>
    </w:pPr>
    <w:r>
      <w:t>350589.p4</w:t>
    </w:r>
    <w:r>
      <w:tab/>
      <w:t>OWNER-FURNISHED PRODUCTS</w:t>
    </w:r>
  </w:p>
  <w:p w14:paraId="5F05E250" w14:textId="77777777" w:rsidR="00FF543D" w:rsidRPr="00011238" w:rsidRDefault="00C03026" w:rsidP="00297A98">
    <w:pPr>
      <w:pStyle w:val="Footer"/>
    </w:pPr>
    <w:r>
      <w:fldChar w:fldCharType="begin"/>
    </w:r>
    <w:r>
      <w:instrText>date \@ "MMMM d, yyyy"</w:instrText>
    </w:r>
    <w:r>
      <w:fldChar w:fldCharType="separate"/>
    </w:r>
    <w:r w:rsidR="00C649A9">
      <w:rPr>
        <w:noProof/>
      </w:rPr>
      <w:t>December 2, 2013</w:t>
    </w:r>
    <w:r>
      <w:rPr>
        <w:noProof/>
      </w:rPr>
      <w:fldChar w:fldCharType="end"/>
    </w:r>
    <w:r w:rsidR="00FF543D">
      <w:tab/>
      <w:t xml:space="preserve">01 64 00 - </w:t>
    </w:r>
    <w:r w:rsidR="004969B1">
      <w:rPr>
        <w:caps w:val="0"/>
      </w:rPr>
      <w:fldChar w:fldCharType="begin"/>
    </w:r>
    <w:r w:rsidR="00FF543D">
      <w:rPr>
        <w:caps w:val="0"/>
      </w:rPr>
      <w:instrText xml:space="preserve"> PAGE \* MERGEFORMAT </w:instrText>
    </w:r>
    <w:r w:rsidR="004969B1">
      <w:rPr>
        <w:caps w:val="0"/>
      </w:rPr>
      <w:fldChar w:fldCharType="separate"/>
    </w:r>
    <w:r w:rsidR="00C649A9">
      <w:rPr>
        <w:caps w:val="0"/>
        <w:noProof/>
      </w:rPr>
      <w:t>1</w:t>
    </w:r>
    <w:r w:rsidR="004969B1">
      <w:rPr>
        <w:cap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85DF6" w14:textId="77777777" w:rsidR="00C03026" w:rsidRDefault="00C03026">
      <w:r>
        <w:separator/>
      </w:r>
    </w:p>
  </w:footnote>
  <w:footnote w:type="continuationSeparator" w:id="0">
    <w:p w14:paraId="4AEBAFBB" w14:textId="77777777" w:rsidR="00C03026" w:rsidRDefault="00C03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D2FE5" w14:textId="77777777" w:rsidR="00FF543D" w:rsidRDefault="00FF543D" w:rsidP="00297A98">
    <w:pPr>
      <w:pStyle w:val="Header"/>
    </w:pPr>
    <w:r>
      <w:t xml:space="preserve">350589D.GN1 </w:t>
    </w:r>
  </w:p>
  <w:p w14:paraId="00C32E26" w14:textId="77777777" w:rsidR="00FF543D" w:rsidRDefault="00FF543D" w:rsidP="00297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47856" w14:textId="77777777" w:rsidR="00FF543D" w:rsidRDefault="00FF543D">
    <w:pPr>
      <w:pStyle w:val="Header"/>
    </w:pPr>
    <w:r>
      <w:tab/>
      <w:t>350589D.GN1</w:t>
    </w:r>
  </w:p>
  <w:p w14:paraId="27D9523C" w14:textId="77777777" w:rsidR="00FF543D" w:rsidRDefault="00FF5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AC024C26"/>
    <w:lvl w:ilvl="0">
      <w:start w:val="1"/>
      <w:numFmt w:val="decimal"/>
      <w:pStyle w:val="Heading1"/>
      <w:lvlText w:val="%1"/>
      <w:lvlJc w:val="left"/>
      <w:pPr>
        <w:tabs>
          <w:tab w:val="num" w:pos="0"/>
        </w:tabs>
        <w:ind w:left="0" w:hanging="2304"/>
      </w:pPr>
    </w:lvl>
    <w:lvl w:ilvl="1">
      <w:start w:val="1"/>
      <w:numFmt w:val="decimalZero"/>
      <w:pStyle w:val="Heading2"/>
      <w:lvlText w:val="%1.%2"/>
      <w:lvlJc w:val="left"/>
      <w:pPr>
        <w:tabs>
          <w:tab w:val="num" w:pos="864"/>
        </w:tabs>
        <w:ind w:left="864" w:hanging="864"/>
      </w:pPr>
    </w:lvl>
    <w:lvl w:ilvl="2">
      <w:start w:val="1"/>
      <w:numFmt w:val="upperLetter"/>
      <w:pStyle w:val="Heading3"/>
      <w:lvlText w:val="%3."/>
      <w:lvlJc w:val="left"/>
      <w:pPr>
        <w:tabs>
          <w:tab w:val="num" w:pos="0"/>
        </w:tabs>
        <w:ind w:left="1440" w:hanging="576"/>
      </w:pPr>
    </w:lvl>
    <w:lvl w:ilvl="3">
      <w:start w:val="1"/>
      <w:numFmt w:val="decimal"/>
      <w:pStyle w:val="Heading4"/>
      <w:lvlText w:val="%4."/>
      <w:lvlJc w:val="left"/>
      <w:pPr>
        <w:tabs>
          <w:tab w:val="num" w:pos="0"/>
        </w:tabs>
        <w:ind w:left="2016" w:hanging="576"/>
      </w:pPr>
    </w:lvl>
    <w:lvl w:ilvl="4">
      <w:start w:val="1"/>
      <w:numFmt w:val="lowerLetter"/>
      <w:pStyle w:val="Heading5"/>
      <w:lvlText w:val="%5."/>
      <w:lvlJc w:val="left"/>
      <w:pPr>
        <w:tabs>
          <w:tab w:val="num" w:pos="0"/>
        </w:tabs>
        <w:ind w:left="2592" w:hanging="576"/>
      </w:pPr>
    </w:lvl>
    <w:lvl w:ilvl="5">
      <w:start w:val="1"/>
      <w:numFmt w:val="decimal"/>
      <w:pStyle w:val="Heading6"/>
      <w:lvlText w:val="%6)"/>
      <w:lvlJc w:val="left"/>
      <w:pPr>
        <w:tabs>
          <w:tab w:val="num" w:pos="0"/>
        </w:tabs>
        <w:ind w:left="3168" w:hanging="576"/>
      </w:pPr>
    </w:lvl>
    <w:lvl w:ilvl="6">
      <w:start w:val="1"/>
      <w:numFmt w:val="lowerLetter"/>
      <w:pStyle w:val="Heading7"/>
      <w:lvlText w:val="%7)"/>
      <w:lvlJc w:val="left"/>
      <w:pPr>
        <w:tabs>
          <w:tab w:val="num" w:pos="0"/>
        </w:tabs>
        <w:ind w:left="3744" w:hanging="576"/>
      </w:pPr>
    </w:lvl>
    <w:lvl w:ilvl="7">
      <w:start w:val="1"/>
      <w:numFmt w:val="decimal"/>
      <w:pStyle w:val="Heading8"/>
      <w:lvlText w:val="(%8)"/>
      <w:lvlJc w:val="left"/>
      <w:pPr>
        <w:tabs>
          <w:tab w:val="num" w:pos="0"/>
        </w:tabs>
        <w:ind w:left="4320" w:hanging="576"/>
      </w:pPr>
    </w:lvl>
    <w:lvl w:ilvl="8">
      <w:start w:val="1"/>
      <w:numFmt w:val="lowerLetter"/>
      <w:pStyle w:val="Heading9"/>
      <w:lvlText w:val="(%9)"/>
      <w:lvlJc w:val="left"/>
      <w:pPr>
        <w:tabs>
          <w:tab w:val="num" w:pos="0"/>
        </w:tabs>
        <w:ind w:left="4896" w:hanging="576"/>
      </w:pPr>
    </w:lvl>
  </w:abstractNum>
  <w:abstractNum w:abstractNumId="1">
    <w:nsid w:val="723A729E"/>
    <w:multiLevelType w:val="multilevel"/>
    <w:tmpl w:val="5C5A7AE4"/>
    <w:lvl w:ilvl="0">
      <w:start w:val="1"/>
      <w:numFmt w:val="decimal"/>
      <w:lvlText w:val="%1"/>
      <w:lvlJc w:val="left"/>
      <w:pPr>
        <w:ind w:left="630" w:hanging="63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docVars>
    <w:docVar w:name="NTS" w:val="On"/>
  </w:docVars>
  <w:rsids>
    <w:rsidRoot w:val="009E1BE0"/>
    <w:rsid w:val="0000348D"/>
    <w:rsid w:val="00004D50"/>
    <w:rsid w:val="00011238"/>
    <w:rsid w:val="00032414"/>
    <w:rsid w:val="0004747D"/>
    <w:rsid w:val="000707DE"/>
    <w:rsid w:val="00084ED4"/>
    <w:rsid w:val="000B69C9"/>
    <w:rsid w:val="000B6FEC"/>
    <w:rsid w:val="000E09DF"/>
    <w:rsid w:val="00100056"/>
    <w:rsid w:val="00126BF9"/>
    <w:rsid w:val="00134D3A"/>
    <w:rsid w:val="0013596C"/>
    <w:rsid w:val="00152143"/>
    <w:rsid w:val="00155641"/>
    <w:rsid w:val="00156388"/>
    <w:rsid w:val="00180C14"/>
    <w:rsid w:val="001A105C"/>
    <w:rsid w:val="001A342E"/>
    <w:rsid w:val="0020339A"/>
    <w:rsid w:val="00243915"/>
    <w:rsid w:val="00245A3A"/>
    <w:rsid w:val="002472EA"/>
    <w:rsid w:val="00250748"/>
    <w:rsid w:val="002730CF"/>
    <w:rsid w:val="00297A98"/>
    <w:rsid w:val="002A22C1"/>
    <w:rsid w:val="002B789C"/>
    <w:rsid w:val="002E5DB5"/>
    <w:rsid w:val="002E6A0F"/>
    <w:rsid w:val="002F340C"/>
    <w:rsid w:val="0034033A"/>
    <w:rsid w:val="00362E82"/>
    <w:rsid w:val="0036434B"/>
    <w:rsid w:val="00366D6D"/>
    <w:rsid w:val="00372C16"/>
    <w:rsid w:val="00374BFD"/>
    <w:rsid w:val="00386EAD"/>
    <w:rsid w:val="003A15F9"/>
    <w:rsid w:val="003A4561"/>
    <w:rsid w:val="003A7829"/>
    <w:rsid w:val="003B1D24"/>
    <w:rsid w:val="003C4154"/>
    <w:rsid w:val="003D46AD"/>
    <w:rsid w:val="003E240A"/>
    <w:rsid w:val="00466482"/>
    <w:rsid w:val="0048117A"/>
    <w:rsid w:val="004835C8"/>
    <w:rsid w:val="004969B1"/>
    <w:rsid w:val="004A56BE"/>
    <w:rsid w:val="004A6C9E"/>
    <w:rsid w:val="004E68DE"/>
    <w:rsid w:val="004F73F2"/>
    <w:rsid w:val="00524082"/>
    <w:rsid w:val="00545DB4"/>
    <w:rsid w:val="005636F5"/>
    <w:rsid w:val="005C54BA"/>
    <w:rsid w:val="005E0164"/>
    <w:rsid w:val="00637CEA"/>
    <w:rsid w:val="00667B34"/>
    <w:rsid w:val="00673904"/>
    <w:rsid w:val="006A07EA"/>
    <w:rsid w:val="006A4761"/>
    <w:rsid w:val="006A7B89"/>
    <w:rsid w:val="006C6647"/>
    <w:rsid w:val="00720411"/>
    <w:rsid w:val="00725BF2"/>
    <w:rsid w:val="007326FA"/>
    <w:rsid w:val="007351B1"/>
    <w:rsid w:val="00744700"/>
    <w:rsid w:val="00752980"/>
    <w:rsid w:val="007B13E2"/>
    <w:rsid w:val="007B2FDF"/>
    <w:rsid w:val="007C2D7C"/>
    <w:rsid w:val="007C40CD"/>
    <w:rsid w:val="007D5025"/>
    <w:rsid w:val="008027A3"/>
    <w:rsid w:val="008169E6"/>
    <w:rsid w:val="0082114B"/>
    <w:rsid w:val="008303C4"/>
    <w:rsid w:val="00843493"/>
    <w:rsid w:val="00844342"/>
    <w:rsid w:val="00860A55"/>
    <w:rsid w:val="0089313F"/>
    <w:rsid w:val="008A2CE1"/>
    <w:rsid w:val="008D598B"/>
    <w:rsid w:val="00912FDE"/>
    <w:rsid w:val="00920032"/>
    <w:rsid w:val="009B2762"/>
    <w:rsid w:val="009E1BE0"/>
    <w:rsid w:val="00A32D5E"/>
    <w:rsid w:val="00A5009B"/>
    <w:rsid w:val="00A539C7"/>
    <w:rsid w:val="00A875E3"/>
    <w:rsid w:val="00A96256"/>
    <w:rsid w:val="00AA73B5"/>
    <w:rsid w:val="00AB3966"/>
    <w:rsid w:val="00AB7957"/>
    <w:rsid w:val="00AD01D9"/>
    <w:rsid w:val="00B107E0"/>
    <w:rsid w:val="00B14EA3"/>
    <w:rsid w:val="00B21DD4"/>
    <w:rsid w:val="00B2518D"/>
    <w:rsid w:val="00B64126"/>
    <w:rsid w:val="00B64FD1"/>
    <w:rsid w:val="00B8038B"/>
    <w:rsid w:val="00B84674"/>
    <w:rsid w:val="00B9002E"/>
    <w:rsid w:val="00B972A2"/>
    <w:rsid w:val="00BC1CD1"/>
    <w:rsid w:val="00BC3322"/>
    <w:rsid w:val="00BD0985"/>
    <w:rsid w:val="00C03026"/>
    <w:rsid w:val="00C36172"/>
    <w:rsid w:val="00C47B51"/>
    <w:rsid w:val="00C47DC4"/>
    <w:rsid w:val="00C649A9"/>
    <w:rsid w:val="00C6659C"/>
    <w:rsid w:val="00C81074"/>
    <w:rsid w:val="00CA4FB3"/>
    <w:rsid w:val="00CB488B"/>
    <w:rsid w:val="00CB764D"/>
    <w:rsid w:val="00CE16E1"/>
    <w:rsid w:val="00CE5EF8"/>
    <w:rsid w:val="00D2538B"/>
    <w:rsid w:val="00D3131C"/>
    <w:rsid w:val="00D37198"/>
    <w:rsid w:val="00D46622"/>
    <w:rsid w:val="00D55CC3"/>
    <w:rsid w:val="00D659AB"/>
    <w:rsid w:val="00D76861"/>
    <w:rsid w:val="00D86F2A"/>
    <w:rsid w:val="00DB070C"/>
    <w:rsid w:val="00DB11C4"/>
    <w:rsid w:val="00DB30D0"/>
    <w:rsid w:val="00DC1C2E"/>
    <w:rsid w:val="00E00308"/>
    <w:rsid w:val="00E16573"/>
    <w:rsid w:val="00E55440"/>
    <w:rsid w:val="00E9763C"/>
    <w:rsid w:val="00ED12BA"/>
    <w:rsid w:val="00EE6C44"/>
    <w:rsid w:val="00F07CCC"/>
    <w:rsid w:val="00F51CA7"/>
    <w:rsid w:val="00F634A1"/>
    <w:rsid w:val="00F779F2"/>
    <w:rsid w:val="00F8691B"/>
    <w:rsid w:val="00FA2DB3"/>
    <w:rsid w:val="00FB3077"/>
    <w:rsid w:val="00FC2DAB"/>
    <w:rsid w:val="00FC701A"/>
    <w:rsid w:val="00FD3200"/>
    <w:rsid w:val="00FD36D8"/>
    <w:rsid w:val="00FF141F"/>
    <w:rsid w:val="00FF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CEB65"/>
  <w15:docId w15:val="{664348C2-2FE6-43B5-91FD-6318C66E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493"/>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pPr>
    <w:rPr>
      <w:sz w:val="24"/>
    </w:rPr>
  </w:style>
  <w:style w:type="paragraph" w:styleId="Heading1">
    <w:name w:val="heading 1"/>
    <w:basedOn w:val="Normal"/>
    <w:next w:val="Heading2"/>
    <w:qFormat/>
    <w:rsid w:val="00843493"/>
    <w:pPr>
      <w:keepNext/>
      <w:numPr>
        <w:numId w:val="1"/>
      </w:numPr>
      <w:spacing w:after="240"/>
      <w:outlineLvl w:val="0"/>
    </w:pPr>
    <w:rPr>
      <w:b/>
      <w:caps/>
    </w:rPr>
  </w:style>
  <w:style w:type="paragraph" w:styleId="Heading2">
    <w:name w:val="heading 2"/>
    <w:basedOn w:val="Normal"/>
    <w:next w:val="Heading3"/>
    <w:qFormat/>
    <w:rsid w:val="00843493"/>
    <w:pPr>
      <w:keepNext/>
      <w:numPr>
        <w:ilvl w:val="1"/>
        <w:numId w:val="1"/>
      </w:numPr>
      <w:spacing w:after="240"/>
      <w:outlineLvl w:val="1"/>
    </w:pPr>
    <w:rPr>
      <w:caps/>
    </w:rPr>
  </w:style>
  <w:style w:type="paragraph" w:styleId="Heading3">
    <w:name w:val="heading 3"/>
    <w:basedOn w:val="Normal"/>
    <w:qFormat/>
    <w:rsid w:val="00843493"/>
    <w:pPr>
      <w:numPr>
        <w:ilvl w:val="2"/>
        <w:numId w:val="1"/>
      </w:numPr>
      <w:spacing w:after="240"/>
      <w:outlineLvl w:val="2"/>
    </w:pPr>
  </w:style>
  <w:style w:type="paragraph" w:styleId="Heading4">
    <w:name w:val="heading 4"/>
    <w:basedOn w:val="Normal"/>
    <w:qFormat/>
    <w:rsid w:val="00843493"/>
    <w:pPr>
      <w:numPr>
        <w:ilvl w:val="3"/>
        <w:numId w:val="1"/>
      </w:numPr>
      <w:outlineLvl w:val="3"/>
    </w:pPr>
  </w:style>
  <w:style w:type="paragraph" w:styleId="Heading5">
    <w:name w:val="heading 5"/>
    <w:basedOn w:val="Normal"/>
    <w:qFormat/>
    <w:rsid w:val="00843493"/>
    <w:pPr>
      <w:numPr>
        <w:ilvl w:val="4"/>
        <w:numId w:val="1"/>
      </w:numPr>
      <w:outlineLvl w:val="4"/>
    </w:pPr>
  </w:style>
  <w:style w:type="paragraph" w:styleId="Heading6">
    <w:name w:val="heading 6"/>
    <w:basedOn w:val="Normal"/>
    <w:qFormat/>
    <w:rsid w:val="00843493"/>
    <w:pPr>
      <w:numPr>
        <w:ilvl w:val="5"/>
        <w:numId w:val="1"/>
      </w:numPr>
      <w:outlineLvl w:val="5"/>
    </w:pPr>
  </w:style>
  <w:style w:type="paragraph" w:styleId="Heading7">
    <w:name w:val="heading 7"/>
    <w:basedOn w:val="Normal"/>
    <w:qFormat/>
    <w:rsid w:val="00843493"/>
    <w:pPr>
      <w:numPr>
        <w:ilvl w:val="6"/>
        <w:numId w:val="1"/>
      </w:numPr>
      <w:outlineLvl w:val="6"/>
    </w:pPr>
  </w:style>
  <w:style w:type="paragraph" w:styleId="Heading8">
    <w:name w:val="heading 8"/>
    <w:basedOn w:val="Normal"/>
    <w:qFormat/>
    <w:rsid w:val="00843493"/>
    <w:pPr>
      <w:numPr>
        <w:ilvl w:val="7"/>
        <w:numId w:val="1"/>
      </w:numPr>
      <w:outlineLvl w:val="7"/>
    </w:pPr>
  </w:style>
  <w:style w:type="paragraph" w:styleId="Heading9">
    <w:name w:val="heading 9"/>
    <w:basedOn w:val="Normal"/>
    <w:qFormat/>
    <w:rsid w:val="00843493"/>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3200"/>
    <w:rPr>
      <w:rFonts w:ascii="Tahoma" w:hAnsi="Tahoma" w:cs="Tahoma"/>
      <w:sz w:val="16"/>
      <w:szCs w:val="16"/>
    </w:rPr>
  </w:style>
  <w:style w:type="paragraph" w:styleId="TOC1">
    <w:name w:val="toc 1"/>
    <w:basedOn w:val="NTS"/>
    <w:next w:val="TOC2"/>
    <w:semiHidden/>
    <w:rsid w:val="00843493"/>
    <w:pPr>
      <w:tabs>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right" w:leader="dot" w:pos="9000"/>
      </w:tabs>
      <w:spacing w:before="240" w:after="120"/>
    </w:pPr>
    <w:rPr>
      <w:b/>
      <w:caps/>
      <w:color w:val="auto"/>
    </w:rPr>
  </w:style>
  <w:style w:type="paragraph" w:styleId="TOC2">
    <w:name w:val="toc 2"/>
    <w:basedOn w:val="NTS"/>
    <w:next w:val="Normal"/>
    <w:semiHidden/>
    <w:rsid w:val="00843493"/>
    <w:pPr>
      <w:tabs>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left" w:pos="965"/>
        <w:tab w:val="right" w:leader="dot" w:pos="9000"/>
      </w:tabs>
      <w:ind w:left="240"/>
    </w:pPr>
    <w:rPr>
      <w:b/>
      <w:smallCaps/>
      <w:sz w:val="22"/>
    </w:rPr>
  </w:style>
  <w:style w:type="paragraph" w:styleId="TOC3">
    <w:name w:val="toc 3"/>
    <w:basedOn w:val="Normal"/>
    <w:next w:val="Normal"/>
    <w:semiHidden/>
    <w:rsid w:val="00524082"/>
    <w:pPr>
      <w:tabs>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left" w:leader="dot" w:pos="1080"/>
        <w:tab w:val="left" w:pos="1656"/>
        <w:tab w:val="left" w:pos="2232"/>
        <w:tab w:val="left" w:pos="2808"/>
        <w:tab w:val="left" w:pos="3384"/>
        <w:tab w:val="left" w:pos="3960"/>
        <w:tab w:val="left" w:pos="4536"/>
        <w:tab w:val="left" w:pos="5112"/>
        <w:tab w:val="left" w:pos="5688"/>
        <w:tab w:val="left" w:pos="6264"/>
        <w:tab w:val="left" w:pos="6840"/>
        <w:tab w:val="left" w:pos="7416"/>
        <w:tab w:val="left" w:pos="7992"/>
        <w:tab w:val="left" w:leader="dot" w:pos="8640"/>
        <w:tab w:val="right" w:pos="9000"/>
      </w:tabs>
      <w:suppressAutoHyphens/>
      <w:spacing w:line="245" w:lineRule="exact"/>
      <w:ind w:left="2016" w:right="864" w:hanging="576"/>
      <w:jc w:val="both"/>
    </w:pPr>
    <w:rPr>
      <w:spacing w:val="-3"/>
    </w:rPr>
  </w:style>
  <w:style w:type="paragraph" w:styleId="TOC4">
    <w:name w:val="toc 4"/>
    <w:basedOn w:val="Normal"/>
    <w:next w:val="Normal"/>
    <w:semiHidden/>
    <w:rsid w:val="00524082"/>
    <w:pPr>
      <w:tabs>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left" w:leader="dot" w:pos="1080"/>
        <w:tab w:val="left" w:pos="1656"/>
        <w:tab w:val="left" w:pos="2232"/>
        <w:tab w:val="left" w:pos="2808"/>
        <w:tab w:val="left" w:pos="3384"/>
        <w:tab w:val="left" w:pos="3960"/>
        <w:tab w:val="left" w:pos="4536"/>
        <w:tab w:val="left" w:pos="5112"/>
        <w:tab w:val="left" w:pos="5688"/>
        <w:tab w:val="left" w:pos="6264"/>
        <w:tab w:val="left" w:pos="6840"/>
        <w:tab w:val="left" w:pos="7416"/>
        <w:tab w:val="left" w:pos="7992"/>
        <w:tab w:val="left" w:leader="dot" w:pos="8640"/>
        <w:tab w:val="right" w:pos="9000"/>
      </w:tabs>
      <w:suppressAutoHyphens/>
      <w:spacing w:line="245" w:lineRule="exact"/>
      <w:ind w:left="2592" w:right="864" w:hanging="576"/>
      <w:jc w:val="both"/>
    </w:pPr>
    <w:rPr>
      <w:spacing w:val="-3"/>
    </w:rPr>
  </w:style>
  <w:style w:type="paragraph" w:styleId="TOC5">
    <w:name w:val="toc 5"/>
    <w:basedOn w:val="Normal"/>
    <w:next w:val="Normal"/>
    <w:semiHidden/>
    <w:rsid w:val="00843493"/>
    <w:pPr>
      <w:tabs>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right" w:leader="dot" w:pos="9000"/>
      </w:tabs>
      <w:ind w:left="960"/>
    </w:pPr>
  </w:style>
  <w:style w:type="paragraph" w:styleId="TOC6">
    <w:name w:val="toc 6"/>
    <w:basedOn w:val="Normal"/>
    <w:next w:val="Normal"/>
    <w:semiHidden/>
    <w:rsid w:val="00524082"/>
    <w:pPr>
      <w:tabs>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left" w:leader="dot" w:pos="1080"/>
        <w:tab w:val="left" w:pos="1656"/>
        <w:tab w:val="left" w:pos="2232"/>
        <w:tab w:val="left" w:pos="2808"/>
        <w:tab w:val="left" w:pos="3384"/>
        <w:tab w:val="left" w:pos="3960"/>
        <w:tab w:val="left" w:pos="4536"/>
        <w:tab w:val="left" w:pos="5112"/>
        <w:tab w:val="left" w:pos="5688"/>
        <w:tab w:val="left" w:pos="6264"/>
        <w:tab w:val="left" w:pos="6840"/>
        <w:tab w:val="left" w:pos="7416"/>
        <w:tab w:val="left" w:pos="7992"/>
        <w:tab w:val="left" w:pos="8640"/>
        <w:tab w:val="right" w:pos="9000"/>
      </w:tabs>
      <w:suppressAutoHyphens/>
      <w:ind w:left="720" w:hanging="720"/>
    </w:pPr>
  </w:style>
  <w:style w:type="paragraph" w:styleId="TOC7">
    <w:name w:val="toc 7"/>
    <w:basedOn w:val="Normal"/>
    <w:next w:val="Normal"/>
    <w:semiHidden/>
    <w:rsid w:val="00524082"/>
    <w:pPr>
      <w:tabs>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left" w:leader="do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9000"/>
      </w:tabs>
      <w:suppressAutoHyphens/>
      <w:ind w:left="720" w:hanging="720"/>
    </w:pPr>
  </w:style>
  <w:style w:type="paragraph" w:styleId="TOC8">
    <w:name w:val="toc 8"/>
    <w:basedOn w:val="Normal"/>
    <w:next w:val="Normal"/>
    <w:semiHidden/>
    <w:rsid w:val="00524082"/>
    <w:pPr>
      <w:tabs>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left" w:leader="dot" w:pos="1080"/>
        <w:tab w:val="left" w:pos="1656"/>
        <w:tab w:val="left" w:pos="2232"/>
        <w:tab w:val="left" w:pos="2808"/>
        <w:tab w:val="left" w:pos="3384"/>
        <w:tab w:val="left" w:pos="3960"/>
        <w:tab w:val="left" w:pos="4536"/>
        <w:tab w:val="left" w:pos="5112"/>
        <w:tab w:val="left" w:pos="5688"/>
        <w:tab w:val="left" w:pos="6264"/>
        <w:tab w:val="left" w:pos="6840"/>
        <w:tab w:val="left" w:pos="7416"/>
        <w:tab w:val="left" w:pos="7992"/>
        <w:tab w:val="left" w:pos="8640"/>
        <w:tab w:val="right" w:pos="9000"/>
      </w:tabs>
      <w:suppressAutoHyphens/>
      <w:ind w:left="720" w:hanging="720"/>
    </w:pPr>
  </w:style>
  <w:style w:type="paragraph" w:styleId="TOC9">
    <w:name w:val="toc 9"/>
    <w:basedOn w:val="Normal"/>
    <w:next w:val="Normal"/>
    <w:semiHidden/>
    <w:rsid w:val="00524082"/>
    <w:pPr>
      <w:tabs>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left" w:leader="dot" w:pos="1080"/>
        <w:tab w:val="left" w:pos="1656"/>
        <w:tab w:val="left" w:pos="2232"/>
        <w:tab w:val="left" w:pos="2808"/>
        <w:tab w:val="left" w:pos="3384"/>
        <w:tab w:val="left" w:pos="3960"/>
        <w:tab w:val="left" w:pos="4536"/>
        <w:tab w:val="left" w:pos="5112"/>
        <w:tab w:val="left" w:pos="5688"/>
        <w:tab w:val="left" w:pos="6264"/>
        <w:tab w:val="left" w:pos="6840"/>
        <w:tab w:val="left" w:pos="7416"/>
        <w:tab w:val="left" w:pos="7992"/>
        <w:tab w:val="left" w:leader="dot" w:pos="8640"/>
        <w:tab w:val="right" w:pos="9000"/>
      </w:tabs>
      <w:suppressAutoHyphens/>
      <w:ind w:left="720" w:hanging="720"/>
    </w:pPr>
  </w:style>
  <w:style w:type="paragraph" w:styleId="Index1">
    <w:name w:val="index 1"/>
    <w:basedOn w:val="Normal"/>
    <w:next w:val="Normal"/>
    <w:semiHidden/>
    <w:rsid w:val="00524082"/>
    <w:pPr>
      <w:tabs>
        <w:tab w:val="left" w:leader="dot" w:pos="9000"/>
        <w:tab w:val="right" w:pos="9360"/>
      </w:tabs>
      <w:suppressAutoHyphens/>
      <w:ind w:left="1440" w:right="720" w:hanging="1440"/>
    </w:pPr>
  </w:style>
  <w:style w:type="paragraph" w:styleId="Index2">
    <w:name w:val="index 2"/>
    <w:basedOn w:val="Normal"/>
    <w:next w:val="Normal"/>
    <w:semiHidden/>
    <w:rsid w:val="00524082"/>
    <w:pPr>
      <w:tabs>
        <w:tab w:val="left" w:leader="dot" w:pos="9000"/>
        <w:tab w:val="right" w:pos="9360"/>
      </w:tabs>
      <w:suppressAutoHyphens/>
      <w:ind w:left="1440" w:right="720" w:hanging="720"/>
    </w:pPr>
  </w:style>
  <w:style w:type="paragraph" w:styleId="TOAHeading">
    <w:name w:val="toa heading"/>
    <w:basedOn w:val="Normal"/>
    <w:next w:val="Normal"/>
    <w:semiHidden/>
    <w:rsid w:val="00524082"/>
    <w:pPr>
      <w:tabs>
        <w:tab w:val="left" w:pos="9000"/>
        <w:tab w:val="right" w:pos="9360"/>
      </w:tabs>
      <w:suppressAutoHyphens/>
    </w:pPr>
  </w:style>
  <w:style w:type="paragraph" w:styleId="Caption">
    <w:name w:val="caption"/>
    <w:basedOn w:val="Normal"/>
    <w:next w:val="Normal"/>
    <w:qFormat/>
    <w:rsid w:val="00524082"/>
  </w:style>
  <w:style w:type="character" w:customStyle="1" w:styleId="EquationCaption">
    <w:name w:val="_Equation Caption"/>
    <w:rsid w:val="00524082"/>
  </w:style>
  <w:style w:type="paragraph" w:customStyle="1" w:styleId="TableHeading">
    <w:name w:val="Table Heading"/>
    <w:basedOn w:val="TableText"/>
    <w:rsid w:val="00843493"/>
    <w:pPr>
      <w:jc w:val="center"/>
    </w:pPr>
    <w:rPr>
      <w:b/>
    </w:rPr>
  </w:style>
  <w:style w:type="paragraph" w:customStyle="1" w:styleId="TableText">
    <w:name w:val="Table Text"/>
    <w:basedOn w:val="Normal"/>
    <w:rsid w:val="00843493"/>
    <w:pPr>
      <w:spacing w:before="120"/>
    </w:pPr>
  </w:style>
  <w:style w:type="paragraph" w:styleId="Header">
    <w:name w:val="header"/>
    <w:basedOn w:val="Normal"/>
    <w:rsid w:val="00843493"/>
    <w:pPr>
      <w:tabs>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right" w:pos="9000"/>
      </w:tabs>
    </w:pPr>
    <w:rPr>
      <w:caps/>
    </w:rPr>
  </w:style>
  <w:style w:type="paragraph" w:customStyle="1" w:styleId="SectionHeading">
    <w:name w:val="Section Heading"/>
    <w:basedOn w:val="Normal"/>
    <w:next w:val="Heading1"/>
    <w:rsid w:val="00843493"/>
    <w:pPr>
      <w:spacing w:after="480"/>
      <w:jc w:val="center"/>
    </w:pPr>
    <w:rPr>
      <w:b/>
      <w:caps/>
    </w:rPr>
  </w:style>
  <w:style w:type="paragraph" w:styleId="BodyText">
    <w:name w:val="Body Text"/>
    <w:basedOn w:val="Normal"/>
    <w:rsid w:val="00843493"/>
    <w:pPr>
      <w:spacing w:after="240"/>
    </w:pPr>
  </w:style>
  <w:style w:type="paragraph" w:styleId="BodyTextIndent">
    <w:name w:val="Body Text Indent"/>
    <w:basedOn w:val="Normal"/>
    <w:rsid w:val="00843493"/>
    <w:pPr>
      <w:spacing w:after="240"/>
      <w:ind w:left="1152"/>
    </w:pPr>
  </w:style>
  <w:style w:type="paragraph" w:customStyle="1" w:styleId="NTS">
    <w:name w:val="NTS"/>
    <w:basedOn w:val="BodyText"/>
    <w:next w:val="BodyText"/>
    <w:rsid w:val="00843493"/>
    <w:pPr>
      <w:spacing w:after="0"/>
    </w:pPr>
    <w:rPr>
      <w:vanish/>
      <w:color w:val="000080"/>
    </w:rPr>
  </w:style>
  <w:style w:type="paragraph" w:customStyle="1" w:styleId="SectionEnd">
    <w:name w:val="Section End"/>
    <w:basedOn w:val="SectionHeading"/>
    <w:next w:val="SectionHeading"/>
    <w:rsid w:val="00843493"/>
  </w:style>
  <w:style w:type="paragraph" w:customStyle="1" w:styleId="SectionTOC">
    <w:name w:val="Section TOC"/>
    <w:basedOn w:val="SectionHeading"/>
    <w:rsid w:val="00843493"/>
    <w:rPr>
      <w:vanish/>
      <w:color w:val="000080"/>
    </w:rPr>
  </w:style>
  <w:style w:type="paragraph" w:styleId="Footer">
    <w:name w:val="footer"/>
    <w:basedOn w:val="Normal"/>
    <w:rsid w:val="00843493"/>
    <w:pPr>
      <w:tabs>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right" w:pos="9000"/>
      </w:tabs>
    </w:pPr>
    <w:rPr>
      <w:caps/>
    </w:rPr>
  </w:style>
  <w:style w:type="character" w:styleId="PageNumber">
    <w:name w:val="page number"/>
    <w:basedOn w:val="DefaultParagraphFont"/>
    <w:rsid w:val="00843493"/>
  </w:style>
  <w:style w:type="character" w:customStyle="1" w:styleId="Choice">
    <w:name w:val="Choice"/>
    <w:basedOn w:val="DefaultParagraphFont"/>
    <w:rsid w:val="00843493"/>
    <w:rPr>
      <w:rFonts w:ascii="Times New Roman" w:hAnsi="Times New Roman"/>
      <w:b/>
      <w:sz w:val="24"/>
    </w:rPr>
  </w:style>
  <w:style w:type="paragraph" w:customStyle="1" w:styleId="Comment">
    <w:name w:val="Comment"/>
    <w:basedOn w:val="BodyText"/>
    <w:rsid w:val="00843493"/>
    <w:pPr>
      <w:spacing w:after="120"/>
    </w:pPr>
    <w:rPr>
      <w:vanish/>
      <w:color w:val="008000"/>
    </w:rPr>
  </w:style>
  <w:style w:type="character" w:styleId="CommentReference">
    <w:name w:val="annotation reference"/>
    <w:basedOn w:val="DefaultParagraphFont"/>
    <w:uiPriority w:val="99"/>
    <w:rsid w:val="003C4154"/>
    <w:rPr>
      <w:sz w:val="16"/>
      <w:szCs w:val="16"/>
    </w:rPr>
  </w:style>
  <w:style w:type="paragraph" w:styleId="CommentText">
    <w:name w:val="annotation text"/>
    <w:basedOn w:val="Normal"/>
    <w:link w:val="CommentTextChar"/>
    <w:uiPriority w:val="99"/>
    <w:rsid w:val="003C4154"/>
    <w:rPr>
      <w:sz w:val="20"/>
    </w:rPr>
  </w:style>
  <w:style w:type="character" w:customStyle="1" w:styleId="CommentTextChar">
    <w:name w:val="Comment Text Char"/>
    <w:basedOn w:val="DefaultParagraphFont"/>
    <w:link w:val="CommentText"/>
    <w:uiPriority w:val="99"/>
    <w:rsid w:val="003C4154"/>
  </w:style>
  <w:style w:type="paragraph" w:styleId="CommentSubject">
    <w:name w:val="annotation subject"/>
    <w:basedOn w:val="CommentText"/>
    <w:next w:val="CommentText"/>
    <w:link w:val="CommentSubjectChar"/>
    <w:rsid w:val="003C4154"/>
    <w:rPr>
      <w:b/>
      <w:bCs/>
    </w:rPr>
  </w:style>
  <w:style w:type="character" w:customStyle="1" w:styleId="CommentSubjectChar">
    <w:name w:val="Comment Subject Char"/>
    <w:basedOn w:val="CommentTextChar"/>
    <w:link w:val="CommentSubject"/>
    <w:rsid w:val="003C4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2M%20HILL%20Specifications\spectech_mf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spectech_mf04.dot</Template>
  <TotalTime>16</TotalTime>
  <Pages>5</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01 64 00 Owner-Furnished Products</vt:lpstr>
    </vt:vector>
  </TitlesOfParts>
  <Company>CH2M HILL</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64 00 Owner-Furnished Products</dc:title>
  <dc:creator>Jill Carter/GNV</dc:creator>
  <cp:lastModifiedBy>Baldwin, Jennifer/KNV</cp:lastModifiedBy>
  <cp:revision>8</cp:revision>
  <cp:lastPrinted>2011-07-06T21:28:00Z</cp:lastPrinted>
  <dcterms:created xsi:type="dcterms:W3CDTF">2011-06-22T12:53:00Z</dcterms:created>
  <dcterms:modified xsi:type="dcterms:W3CDTF">2013-12-02T22:33:00Z</dcterms:modified>
</cp:coreProperties>
</file>