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29" w:rsidRPr="00C02727" w:rsidRDefault="00385829" w:rsidP="00385829">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480"/>
        <w:jc w:val="center"/>
        <w:rPr>
          <w:b/>
          <w:caps/>
          <w:szCs w:val="24"/>
        </w:rPr>
      </w:pPr>
      <w:r w:rsidRPr="00C02727">
        <w:rPr>
          <w:b/>
          <w:caps/>
          <w:szCs w:val="24"/>
        </w:rPr>
        <w:t>SECTION 26 36 24</w:t>
      </w:r>
      <w:r w:rsidRPr="00C02727">
        <w:rPr>
          <w:b/>
          <w:caps/>
          <w:szCs w:val="24"/>
        </w:rPr>
        <w:br/>
        <w:t>AUTOMATIC TRANSFER CONTROL SYSTEM</w:t>
      </w:r>
    </w:p>
    <w:p w:rsidR="00385829" w:rsidRPr="00C02727" w:rsidRDefault="00385829" w:rsidP="00385829">
      <w:pPr>
        <w:keepNext/>
        <w:tabs>
          <w:tab w:val="num" w:pos="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s>
        <w:spacing w:after="240"/>
        <w:ind w:left="2304" w:hanging="2304"/>
        <w:outlineLvl w:val="0"/>
        <w:rPr>
          <w:b/>
          <w:caps/>
          <w:szCs w:val="24"/>
        </w:rPr>
      </w:pPr>
      <w:r w:rsidRPr="00C02727">
        <w:rPr>
          <w:b/>
          <w:caps/>
          <w:szCs w:val="24"/>
        </w:rPr>
        <w:t>PART 1</w:t>
      </w:r>
      <w:r w:rsidRPr="00C02727">
        <w:rPr>
          <w:b/>
          <w:caps/>
          <w:szCs w:val="24"/>
        </w:rPr>
        <w:tab/>
        <w:t>GENERAL</w:t>
      </w:r>
    </w:p>
    <w:p w:rsidR="00385829" w:rsidRPr="00C02727" w:rsidRDefault="00385829" w:rsidP="00385829">
      <w:pPr>
        <w:pStyle w:val="Heading2"/>
        <w:rPr>
          <w:szCs w:val="24"/>
        </w:rPr>
      </w:pPr>
      <w:bookmarkStart w:id="0" w:name="OLE_LINK1"/>
      <w:bookmarkEnd w:id="0"/>
      <w:r w:rsidRPr="00C02727">
        <w:rPr>
          <w:szCs w:val="24"/>
        </w:rPr>
        <w:t>REFERENCES</w:t>
      </w:r>
    </w:p>
    <w:p w:rsidR="00385829" w:rsidRPr="00C02727" w:rsidRDefault="00385829" w:rsidP="00385829">
      <w:pPr>
        <w:pStyle w:val="Heading3"/>
        <w:rPr>
          <w:szCs w:val="24"/>
        </w:rPr>
      </w:pPr>
      <w:r w:rsidRPr="00C02727">
        <w:rPr>
          <w:szCs w:val="24"/>
        </w:rPr>
        <w:t xml:space="preserve">The following is a list of standards </w:t>
      </w:r>
      <w:r w:rsidR="002D0177">
        <w:rPr>
          <w:szCs w:val="24"/>
        </w:rPr>
        <w:t xml:space="preserve">that </w:t>
      </w:r>
      <w:r w:rsidRPr="00C02727">
        <w:rPr>
          <w:szCs w:val="24"/>
        </w:rPr>
        <w:t>may be referenced in this section:</w:t>
      </w:r>
    </w:p>
    <w:p w:rsidR="002D0177" w:rsidRDefault="00385829" w:rsidP="00D637B2">
      <w:pPr>
        <w:pStyle w:val="Heading4"/>
        <w:rPr>
          <w:szCs w:val="24"/>
        </w:rPr>
      </w:pPr>
      <w:r w:rsidRPr="00C02727">
        <w:rPr>
          <w:szCs w:val="24"/>
        </w:rPr>
        <w:t>Institute of Electrical and Electronics Engineers (IEEE):</w:t>
      </w:r>
    </w:p>
    <w:p w:rsidR="00385829" w:rsidRPr="00C02727" w:rsidRDefault="00385829" w:rsidP="002D0177">
      <w:pPr>
        <w:pStyle w:val="Heading5"/>
      </w:pPr>
      <w:r w:rsidRPr="00C02727">
        <w:t>C37.90.1, Standard for Surge Withstand Capability (SWC) Tests for Relays and Relay Systems Associated with Electric Power Apparatus.</w:t>
      </w:r>
    </w:p>
    <w:p w:rsidR="00385829" w:rsidRPr="00C02727" w:rsidRDefault="00385829" w:rsidP="002D0177">
      <w:pPr>
        <w:pStyle w:val="Heading5"/>
      </w:pPr>
      <w:r w:rsidRPr="00C02727">
        <w:t>C37.90.2, Standard for Withstand Capability of Relay Systems to radiated Electromagnetic Interference from Transceivers.</w:t>
      </w:r>
    </w:p>
    <w:p w:rsidR="00385829" w:rsidRPr="00C02727" w:rsidRDefault="00385829" w:rsidP="00D637B2">
      <w:pPr>
        <w:pStyle w:val="Heading4"/>
        <w:rPr>
          <w:szCs w:val="24"/>
        </w:rPr>
      </w:pPr>
      <w:r w:rsidRPr="00C02727">
        <w:rPr>
          <w:szCs w:val="24"/>
        </w:rPr>
        <w:t>National Electrical Manufacturers Association (NEMA):</w:t>
      </w:r>
    </w:p>
    <w:p w:rsidR="00385829" w:rsidRPr="00C02727" w:rsidRDefault="00385829" w:rsidP="00D637B2">
      <w:pPr>
        <w:pStyle w:val="Heading5"/>
      </w:pPr>
      <w:r w:rsidRPr="00C02727">
        <w:t>ICS 1, General Standards for Industrial Control and Systems: General Requirements.</w:t>
      </w:r>
    </w:p>
    <w:p w:rsidR="00385829" w:rsidRPr="00C02727" w:rsidRDefault="00385829" w:rsidP="00D637B2">
      <w:pPr>
        <w:pStyle w:val="Heading5"/>
        <w:rPr>
          <w:szCs w:val="24"/>
        </w:rPr>
      </w:pPr>
      <w:r w:rsidRPr="00C02727">
        <w:rPr>
          <w:szCs w:val="24"/>
        </w:rPr>
        <w:t xml:space="preserve">ICS 2, Industrial Control and Systems Controllers, Contactors, and Overload Relays not more than 2000 volts ac or 750 volts ac. </w:t>
      </w:r>
    </w:p>
    <w:p w:rsidR="00385829" w:rsidRDefault="00385829" w:rsidP="00D637B2">
      <w:pPr>
        <w:pStyle w:val="Heading5"/>
        <w:rPr>
          <w:szCs w:val="24"/>
        </w:rPr>
      </w:pPr>
      <w:r w:rsidRPr="00C02727">
        <w:t xml:space="preserve">ICS 6, Industrial Control </w:t>
      </w:r>
      <w:r>
        <w:t>a</w:t>
      </w:r>
      <w:r w:rsidRPr="00C02727">
        <w:t>nd Systems: Enclosures 250, Enclosures for Electrical Equipment (1,000 Volts Maximum).</w:t>
      </w:r>
    </w:p>
    <w:p w:rsidR="00385829" w:rsidRPr="00C02727" w:rsidRDefault="00385829" w:rsidP="00D637B2">
      <w:pPr>
        <w:pStyle w:val="Heading4"/>
      </w:pPr>
      <w:r w:rsidRPr="00C02727">
        <w:t>National Fire Protection Association (NFPA): 70, National Electrical Code (NEC).</w:t>
      </w:r>
    </w:p>
    <w:p w:rsidR="00385829" w:rsidRPr="00C02727" w:rsidRDefault="00385829" w:rsidP="00D637B2">
      <w:pPr>
        <w:pStyle w:val="Heading4"/>
        <w:rPr>
          <w:szCs w:val="24"/>
        </w:rPr>
      </w:pPr>
      <w:r w:rsidRPr="00C02727">
        <w:rPr>
          <w:szCs w:val="24"/>
        </w:rPr>
        <w:t>Underwriters Laboratories, Inc. (UL): 1008, Transfer Switch Equipment.</w:t>
      </w:r>
    </w:p>
    <w:p w:rsidR="00385829" w:rsidRPr="00C02727" w:rsidRDefault="00385829" w:rsidP="00D637B2">
      <w:pPr>
        <w:pStyle w:val="Heading2"/>
        <w:spacing w:before="240"/>
      </w:pPr>
      <w:r w:rsidRPr="00C02727">
        <w:t>SUBMITTALS</w:t>
      </w:r>
    </w:p>
    <w:p w:rsidR="00385829" w:rsidRPr="00C02727" w:rsidRDefault="00385829" w:rsidP="00385829">
      <w:pPr>
        <w:pStyle w:val="Heading3"/>
      </w:pPr>
      <w:r w:rsidRPr="00C02727">
        <w:t>Action Submittals:</w:t>
      </w:r>
    </w:p>
    <w:p w:rsidR="00385829" w:rsidRPr="00C02727" w:rsidRDefault="00385829" w:rsidP="00D637B2">
      <w:pPr>
        <w:pStyle w:val="Heading4"/>
      </w:pPr>
      <w:r w:rsidRPr="00C02727">
        <w:t>Descriptive product information.</w:t>
      </w:r>
    </w:p>
    <w:p w:rsidR="00385829" w:rsidRPr="00C02727" w:rsidRDefault="00385829" w:rsidP="00D637B2">
      <w:pPr>
        <w:pStyle w:val="Heading4"/>
      </w:pPr>
      <w:r w:rsidRPr="00C02727">
        <w:t>Dimensional drawings.</w:t>
      </w:r>
    </w:p>
    <w:p w:rsidR="00385829" w:rsidRPr="00C02727" w:rsidRDefault="00385829" w:rsidP="00D637B2">
      <w:pPr>
        <w:pStyle w:val="Heading4"/>
        <w:rPr>
          <w:szCs w:val="24"/>
        </w:rPr>
      </w:pPr>
      <w:r w:rsidRPr="00385829">
        <w:t>Control</w:t>
      </w:r>
      <w:r w:rsidRPr="00C02727">
        <w:rPr>
          <w:szCs w:val="24"/>
        </w:rPr>
        <w:t xml:space="preserve"> diagrams.</w:t>
      </w:r>
    </w:p>
    <w:p w:rsidR="00385829" w:rsidRPr="00C02727" w:rsidRDefault="00385829" w:rsidP="00D637B2">
      <w:pPr>
        <w:pStyle w:val="Heading4"/>
        <w:rPr>
          <w:szCs w:val="24"/>
        </w:rPr>
      </w:pPr>
      <w:r w:rsidRPr="00C02727">
        <w:rPr>
          <w:szCs w:val="24"/>
        </w:rPr>
        <w:t>Interface drawings with existing switchgear.</w:t>
      </w:r>
    </w:p>
    <w:p w:rsidR="00385829" w:rsidRPr="00C02727" w:rsidRDefault="00385829" w:rsidP="00D637B2">
      <w:pPr>
        <w:pStyle w:val="Heading4"/>
        <w:rPr>
          <w:szCs w:val="24"/>
        </w:rPr>
      </w:pPr>
      <w:r w:rsidRPr="00C02727">
        <w:rPr>
          <w:szCs w:val="24"/>
        </w:rPr>
        <w:t>Equipment ratings.</w:t>
      </w:r>
    </w:p>
    <w:p w:rsidR="00385829" w:rsidRPr="00C02727" w:rsidRDefault="00385829" w:rsidP="0020210A">
      <w:pPr>
        <w:pStyle w:val="Heading3"/>
        <w:keepNext/>
        <w:keepLines/>
        <w:spacing w:before="240"/>
        <w:rPr>
          <w:szCs w:val="24"/>
        </w:rPr>
      </w:pPr>
      <w:r w:rsidRPr="00C02727">
        <w:rPr>
          <w:szCs w:val="24"/>
        </w:rPr>
        <w:t>Informational Submittals:</w:t>
      </w:r>
    </w:p>
    <w:p w:rsidR="00385829" w:rsidRPr="00C02727" w:rsidRDefault="00385829" w:rsidP="0020210A">
      <w:pPr>
        <w:pStyle w:val="Heading4"/>
        <w:keepNext/>
        <w:keepLines/>
        <w:rPr>
          <w:szCs w:val="24"/>
        </w:rPr>
      </w:pPr>
      <w:r w:rsidRPr="00C02727">
        <w:rPr>
          <w:szCs w:val="24"/>
        </w:rPr>
        <w:t>Factory test reports.</w:t>
      </w:r>
    </w:p>
    <w:p w:rsidR="00385829" w:rsidRPr="00C02727" w:rsidRDefault="00385829" w:rsidP="0020210A">
      <w:pPr>
        <w:pStyle w:val="Heading4"/>
        <w:keepNext/>
        <w:keepLines/>
        <w:rPr>
          <w:szCs w:val="24"/>
        </w:rPr>
      </w:pPr>
      <w:r w:rsidRPr="00C02727">
        <w:rPr>
          <w:szCs w:val="24"/>
        </w:rPr>
        <w:t xml:space="preserve">Operation and Maintenance Data: </w:t>
      </w:r>
      <w:r w:rsidR="00714B9A">
        <w:rPr>
          <w:szCs w:val="24"/>
        </w:rPr>
        <w:t>C</w:t>
      </w:r>
      <w:r w:rsidRPr="00C02727">
        <w:rPr>
          <w:szCs w:val="24"/>
        </w:rPr>
        <w:t>omplete operations and maintenance information for components provided.</w:t>
      </w:r>
    </w:p>
    <w:p w:rsidR="00385829" w:rsidRPr="00C02727" w:rsidRDefault="00385829" w:rsidP="00D637B2">
      <w:pPr>
        <w:pStyle w:val="Heading4"/>
        <w:rPr>
          <w:szCs w:val="24"/>
        </w:rPr>
      </w:pPr>
      <w:r w:rsidRPr="00C02727">
        <w:rPr>
          <w:szCs w:val="24"/>
        </w:rPr>
        <w:t xml:space="preserve">Manufacturer’s Certificate of </w:t>
      </w:r>
      <w:r w:rsidR="002D0177" w:rsidRPr="00C02727">
        <w:rPr>
          <w:szCs w:val="24"/>
        </w:rPr>
        <w:t>Proper Installation</w:t>
      </w:r>
      <w:r w:rsidRPr="00C02727">
        <w:rPr>
          <w:szCs w:val="24"/>
        </w:rPr>
        <w:t>.</w:t>
      </w:r>
    </w:p>
    <w:p w:rsidR="00385829" w:rsidRPr="00C02727" w:rsidRDefault="00385829" w:rsidP="00D637B2">
      <w:pPr>
        <w:pStyle w:val="Heading2"/>
        <w:spacing w:before="240"/>
        <w:rPr>
          <w:caps w:val="0"/>
          <w:szCs w:val="24"/>
        </w:rPr>
      </w:pPr>
      <w:r w:rsidRPr="00C02727">
        <w:rPr>
          <w:caps w:val="0"/>
          <w:szCs w:val="24"/>
        </w:rPr>
        <w:t>QUALITY ASSURANCE</w:t>
      </w:r>
    </w:p>
    <w:p w:rsidR="00385829" w:rsidRPr="00C02727" w:rsidRDefault="00385829" w:rsidP="00385829">
      <w:pPr>
        <w:pStyle w:val="Heading3"/>
        <w:rPr>
          <w:szCs w:val="24"/>
        </w:rPr>
      </w:pPr>
      <w:r w:rsidRPr="00C02727">
        <w:rPr>
          <w:szCs w:val="24"/>
        </w:rPr>
        <w:t>Authority Having Jurisdiction (AHJ):</w:t>
      </w:r>
    </w:p>
    <w:p w:rsidR="00385829" w:rsidRPr="00C02727" w:rsidRDefault="00385829" w:rsidP="00D637B2">
      <w:pPr>
        <w:pStyle w:val="Heading4"/>
        <w:rPr>
          <w:szCs w:val="24"/>
        </w:rPr>
      </w:pPr>
      <w:r w:rsidRPr="00C02727">
        <w:rPr>
          <w:szCs w:val="24"/>
        </w:rPr>
        <w:t>Provide the Work in accordance with NFPA 70, National Electrical Code (NEC). Where required by the AHJ, material and equipment shall be labeled or listed by a nationally recognized testing laboratory or other organization acceptable to the AHJ in order to provide a basis for approval under NEC.</w:t>
      </w:r>
    </w:p>
    <w:p w:rsidR="00385829" w:rsidRPr="00C02727" w:rsidRDefault="00385829" w:rsidP="00D637B2">
      <w:pPr>
        <w:pStyle w:val="Heading4"/>
        <w:rPr>
          <w:szCs w:val="24"/>
        </w:rPr>
      </w:pPr>
      <w:r w:rsidRPr="00C02727">
        <w:rPr>
          <w:szCs w:val="24"/>
        </w:rPr>
        <w:t xml:space="preserve">Materials and equipment manufactured within the scope of standards published </w:t>
      </w:r>
      <w:r w:rsidRPr="00C02727">
        <w:rPr>
          <w:szCs w:val="24"/>
        </w:rPr>
        <w:lastRenderedPageBreak/>
        <w:t>by Underwriters Laboratories, Inc. shall conform to those standards and shall have an applied UL listing mark.</w:t>
      </w:r>
    </w:p>
    <w:p w:rsidR="00385829" w:rsidRPr="00C02727" w:rsidRDefault="00385829" w:rsidP="00D637B2">
      <w:pPr>
        <w:pStyle w:val="Heading1"/>
        <w:spacing w:before="240"/>
      </w:pPr>
      <w:r w:rsidRPr="00C02727">
        <w:t>PART 2</w:t>
      </w:r>
      <w:r w:rsidRPr="00C02727">
        <w:tab/>
        <w:t>PRODUCTS</w:t>
      </w:r>
    </w:p>
    <w:p w:rsidR="00385829" w:rsidRPr="00C02727" w:rsidRDefault="00385829" w:rsidP="00D637B2">
      <w:pPr>
        <w:pStyle w:val="Heading2"/>
      </w:pPr>
      <w:r w:rsidRPr="00C02727">
        <w:t>MANUFACTURERS</w:t>
      </w:r>
    </w:p>
    <w:p w:rsidR="002D0177" w:rsidRDefault="002D0177" w:rsidP="00D637B2">
      <w:pPr>
        <w:pStyle w:val="Heading3"/>
      </w:pPr>
      <w:r>
        <w:t>Materials, equipment, and accessories specified in this section shall be products of:</w:t>
      </w:r>
    </w:p>
    <w:p w:rsidR="00385829" w:rsidRPr="00C02727" w:rsidRDefault="00385829" w:rsidP="002D0177">
      <w:pPr>
        <w:pStyle w:val="Heading4"/>
      </w:pPr>
      <w:r w:rsidRPr="00C02727">
        <w:t>G&amp;W Electric Company Model ATC 451.</w:t>
      </w:r>
    </w:p>
    <w:p w:rsidR="00385829" w:rsidRPr="00C02727" w:rsidRDefault="00385829" w:rsidP="002D0177">
      <w:pPr>
        <w:pStyle w:val="Heading4"/>
      </w:pPr>
      <w:r w:rsidRPr="00C02727">
        <w:t>GE Model MX250.</w:t>
      </w:r>
    </w:p>
    <w:p w:rsidR="00385829" w:rsidRPr="00C02727" w:rsidRDefault="00385829" w:rsidP="00714B9A">
      <w:pPr>
        <w:pStyle w:val="Heading2"/>
        <w:spacing w:before="240"/>
        <w:rPr>
          <w:caps w:val="0"/>
          <w:szCs w:val="24"/>
        </w:rPr>
      </w:pPr>
      <w:r w:rsidRPr="00C02727">
        <w:rPr>
          <w:caps w:val="0"/>
          <w:szCs w:val="24"/>
        </w:rPr>
        <w:t>GENERAL</w:t>
      </w:r>
    </w:p>
    <w:p w:rsidR="00385829" w:rsidRPr="00C02727" w:rsidRDefault="00385829" w:rsidP="00D637B2">
      <w:pPr>
        <w:pStyle w:val="Heading3"/>
        <w:rPr>
          <w:szCs w:val="24"/>
        </w:rPr>
      </w:pPr>
      <w:r w:rsidRPr="00C02727">
        <w:rPr>
          <w:szCs w:val="24"/>
        </w:rPr>
        <w:t xml:space="preserve">Provide a microprocessor based automatic transfer control system to monitor utility power, systematically </w:t>
      </w:r>
      <w:r w:rsidR="00A31F62">
        <w:rPr>
          <w:szCs w:val="24"/>
        </w:rPr>
        <w:t xml:space="preserve">monitor and </w:t>
      </w:r>
      <w:r w:rsidRPr="00C02727">
        <w:rPr>
          <w:szCs w:val="24"/>
        </w:rPr>
        <w:t xml:space="preserve">control switchgear main </w:t>
      </w:r>
      <w:r w:rsidR="00A31F62">
        <w:rPr>
          <w:szCs w:val="24"/>
        </w:rPr>
        <w:t xml:space="preserve">and tie </w:t>
      </w:r>
      <w:r w:rsidRPr="00C02727">
        <w:rPr>
          <w:szCs w:val="24"/>
        </w:rPr>
        <w:t>breakers, and provide</w:t>
      </w:r>
      <w:r w:rsidR="00A31F62">
        <w:rPr>
          <w:szCs w:val="24"/>
        </w:rPr>
        <w:t xml:space="preserve"> load based</w:t>
      </w:r>
      <w:r w:rsidRPr="00C02727">
        <w:rPr>
          <w:szCs w:val="24"/>
        </w:rPr>
        <w:t xml:space="preserve"> control of standby generator</w:t>
      </w:r>
      <w:r w:rsidR="00A31F62">
        <w:rPr>
          <w:szCs w:val="24"/>
        </w:rPr>
        <w:t>s</w:t>
      </w:r>
      <w:r w:rsidRPr="00C02727">
        <w:rPr>
          <w:szCs w:val="24"/>
        </w:rPr>
        <w:t xml:space="preserve"> to </w:t>
      </w:r>
      <w:r w:rsidR="002D0177">
        <w:rPr>
          <w:szCs w:val="24"/>
        </w:rPr>
        <w:t>en</w:t>
      </w:r>
      <w:r w:rsidRPr="00C02727">
        <w:rPr>
          <w:szCs w:val="24"/>
        </w:rPr>
        <w:t xml:space="preserve">sure electric power to the switchgear according to the requirements </w:t>
      </w:r>
      <w:r w:rsidR="002D0177">
        <w:rPr>
          <w:szCs w:val="24"/>
        </w:rPr>
        <w:t>specified</w:t>
      </w:r>
      <w:r w:rsidRPr="00C02727">
        <w:rPr>
          <w:szCs w:val="24"/>
        </w:rPr>
        <w:t>. The automatic transfer control system shall be the standard product of the manufacturer.</w:t>
      </w:r>
    </w:p>
    <w:p w:rsidR="00385829" w:rsidRPr="00C02727" w:rsidRDefault="00385829" w:rsidP="00042974">
      <w:pPr>
        <w:pStyle w:val="Heading3"/>
        <w:rPr>
          <w:szCs w:val="24"/>
        </w:rPr>
      </w:pPr>
      <w:r w:rsidRPr="00C02727">
        <w:rPr>
          <w:szCs w:val="24"/>
        </w:rPr>
        <w:t>The automatic transfer control system shall interface with power operated breakers</w:t>
      </w:r>
      <w:r w:rsidR="00CA1D51">
        <w:rPr>
          <w:szCs w:val="24"/>
        </w:rPr>
        <w:t xml:space="preserve"> provided as part of the facility’s main switchgear specified under a separate specification section</w:t>
      </w:r>
      <w:r w:rsidRPr="00C02727">
        <w:rPr>
          <w:szCs w:val="24"/>
        </w:rPr>
        <w:t>. Provide all needed components to interface the automatic transfer control system with breakers</w:t>
      </w:r>
      <w:r w:rsidR="00CA1D51">
        <w:rPr>
          <w:szCs w:val="24"/>
        </w:rPr>
        <w:t xml:space="preserve"> for OPEN and CLOSE control and respective position monitoring</w:t>
      </w:r>
      <w:r w:rsidRPr="00C02727">
        <w:rPr>
          <w:szCs w:val="24"/>
        </w:rPr>
        <w:t>.</w:t>
      </w:r>
    </w:p>
    <w:p w:rsidR="00385829" w:rsidRPr="00C02727" w:rsidRDefault="00385829" w:rsidP="003B3CFA">
      <w:pPr>
        <w:pStyle w:val="Heading3"/>
        <w:keepNext/>
        <w:rPr>
          <w:szCs w:val="24"/>
        </w:rPr>
      </w:pPr>
      <w:r w:rsidRPr="00C02727">
        <w:rPr>
          <w:szCs w:val="24"/>
        </w:rPr>
        <w:t>In accordance with applicable standards of NFPA 70, NEMA ICS 1, NEMA ICS 2, NEMA ICS 6, IEEE C37.90.1, IEEE C37.90.</w:t>
      </w:r>
      <w:r w:rsidR="002D0177">
        <w:rPr>
          <w:szCs w:val="24"/>
        </w:rPr>
        <w:t>2,</w:t>
      </w:r>
      <w:r w:rsidRPr="00C02727">
        <w:rPr>
          <w:szCs w:val="24"/>
        </w:rPr>
        <w:t xml:space="preserve"> and UL 1008.</w:t>
      </w:r>
    </w:p>
    <w:p w:rsidR="00385829" w:rsidRPr="00C02727" w:rsidRDefault="00385829" w:rsidP="00042974">
      <w:pPr>
        <w:pStyle w:val="Heading3"/>
        <w:rPr>
          <w:szCs w:val="24"/>
        </w:rPr>
      </w:pPr>
      <w:r w:rsidRPr="00C02727">
        <w:rPr>
          <w:szCs w:val="24"/>
        </w:rPr>
        <w:t>Operating Conditions:</w:t>
      </w:r>
    </w:p>
    <w:p w:rsidR="00385829" w:rsidRPr="00C02727" w:rsidRDefault="00385829" w:rsidP="00042974">
      <w:pPr>
        <w:pStyle w:val="Heading4"/>
        <w:rPr>
          <w:szCs w:val="24"/>
        </w:rPr>
      </w:pPr>
      <w:r w:rsidRPr="00C02727">
        <w:rPr>
          <w:szCs w:val="24"/>
        </w:rPr>
        <w:t>Ambient Temperature: Maximum 50 degrees C.</w:t>
      </w:r>
    </w:p>
    <w:p w:rsidR="00385829" w:rsidRPr="00C02727" w:rsidRDefault="00385829" w:rsidP="00042974">
      <w:pPr>
        <w:pStyle w:val="Heading4"/>
        <w:rPr>
          <w:szCs w:val="24"/>
        </w:rPr>
      </w:pPr>
      <w:r w:rsidRPr="00C02727">
        <w:rPr>
          <w:szCs w:val="24"/>
        </w:rPr>
        <w:t xml:space="preserve">Equipment to be fully rated without any derating for </w:t>
      </w:r>
      <w:r w:rsidR="002D0177">
        <w:rPr>
          <w:szCs w:val="24"/>
        </w:rPr>
        <w:t>specified operating conditions</w:t>
      </w:r>
      <w:r w:rsidRPr="00C02727">
        <w:rPr>
          <w:szCs w:val="24"/>
        </w:rPr>
        <w:t>.</w:t>
      </w:r>
    </w:p>
    <w:p w:rsidR="00385829" w:rsidRPr="00C02727" w:rsidRDefault="00385829" w:rsidP="00042974">
      <w:pPr>
        <w:pStyle w:val="Heading2"/>
        <w:spacing w:before="240"/>
        <w:rPr>
          <w:caps w:val="0"/>
          <w:szCs w:val="24"/>
        </w:rPr>
      </w:pPr>
      <w:r w:rsidRPr="00C02727">
        <w:rPr>
          <w:caps w:val="0"/>
          <w:szCs w:val="24"/>
        </w:rPr>
        <w:t>ENCLOSURE</w:t>
      </w:r>
    </w:p>
    <w:p w:rsidR="00385829" w:rsidRPr="00C02727" w:rsidRDefault="00385829" w:rsidP="00042974">
      <w:pPr>
        <w:pStyle w:val="Heading3"/>
        <w:rPr>
          <w:szCs w:val="24"/>
        </w:rPr>
      </w:pPr>
      <w:r w:rsidRPr="00C02727">
        <w:rPr>
          <w:szCs w:val="24"/>
        </w:rPr>
        <w:t xml:space="preserve">Type: Nonventilated NEMA 250, Type </w:t>
      </w:r>
      <w:r w:rsidR="003562D7">
        <w:rPr>
          <w:szCs w:val="24"/>
        </w:rPr>
        <w:t>12</w:t>
      </w:r>
      <w:r w:rsidR="003562D7" w:rsidRPr="00C02727">
        <w:rPr>
          <w:szCs w:val="24"/>
        </w:rPr>
        <w:t xml:space="preserve"> </w:t>
      </w:r>
      <w:r w:rsidR="00A31F62">
        <w:rPr>
          <w:szCs w:val="24"/>
        </w:rPr>
        <w:t>when mounted</w:t>
      </w:r>
      <w:r w:rsidR="00D46A93">
        <w:rPr>
          <w:szCs w:val="24"/>
        </w:rPr>
        <w:t xml:space="preserve"> in dedicated enclosure</w:t>
      </w:r>
      <w:r w:rsidRPr="00C02727">
        <w:rPr>
          <w:szCs w:val="24"/>
        </w:rPr>
        <w:t>.</w:t>
      </w:r>
    </w:p>
    <w:p w:rsidR="00385829" w:rsidRPr="00C02727" w:rsidRDefault="00385829" w:rsidP="00042974">
      <w:pPr>
        <w:pStyle w:val="Heading3"/>
        <w:rPr>
          <w:szCs w:val="24"/>
        </w:rPr>
      </w:pPr>
      <w:r w:rsidRPr="00C02727">
        <w:rPr>
          <w:szCs w:val="24"/>
        </w:rPr>
        <w:t>Dead front, front accessible wall mounted cabinet with 14</w:t>
      </w:r>
      <w:r w:rsidRPr="00C02727">
        <w:rPr>
          <w:szCs w:val="24"/>
        </w:rPr>
        <w:noBreakHyphen/>
        <w:t>gauge welded stainless steel construction.</w:t>
      </w:r>
    </w:p>
    <w:p w:rsidR="00385829" w:rsidRPr="00C02727" w:rsidRDefault="00385829" w:rsidP="00042974">
      <w:pPr>
        <w:pStyle w:val="Heading3"/>
        <w:rPr>
          <w:szCs w:val="24"/>
        </w:rPr>
      </w:pPr>
      <w:r w:rsidRPr="00C02727">
        <w:rPr>
          <w:szCs w:val="24"/>
        </w:rPr>
        <w:t>Continuously hinged single door, with handle and lock cylinder.</w:t>
      </w:r>
    </w:p>
    <w:p w:rsidR="00385829" w:rsidRPr="00C02727" w:rsidRDefault="00385829" w:rsidP="00042974">
      <w:pPr>
        <w:pStyle w:val="Heading3"/>
        <w:rPr>
          <w:szCs w:val="24"/>
        </w:rPr>
      </w:pPr>
      <w:r w:rsidRPr="00C02727">
        <w:rPr>
          <w:szCs w:val="24"/>
        </w:rPr>
        <w:t>Finish: Baked enamel applied over rust-inhibiting, phosphated base coating.</w:t>
      </w:r>
    </w:p>
    <w:p w:rsidR="00385829" w:rsidRPr="00C02727" w:rsidRDefault="00385829" w:rsidP="00042974">
      <w:pPr>
        <w:pStyle w:val="Heading4"/>
        <w:rPr>
          <w:szCs w:val="24"/>
        </w:rPr>
      </w:pPr>
      <w:r w:rsidRPr="00C02727">
        <w:rPr>
          <w:szCs w:val="24"/>
        </w:rPr>
        <w:t xml:space="preserve">Interior </w:t>
      </w:r>
      <w:r w:rsidR="002D0177" w:rsidRPr="00C02727">
        <w:rPr>
          <w:szCs w:val="24"/>
        </w:rPr>
        <w:t xml:space="preserve">Panel Components’ </w:t>
      </w:r>
      <w:r w:rsidRPr="00C02727">
        <w:rPr>
          <w:szCs w:val="24"/>
        </w:rPr>
        <w:t>Color: Provide gray finish as approved by Owner.</w:t>
      </w:r>
    </w:p>
    <w:p w:rsidR="00385829" w:rsidRPr="00C02727" w:rsidRDefault="00385829" w:rsidP="00042974">
      <w:pPr>
        <w:pStyle w:val="Heading4"/>
        <w:rPr>
          <w:szCs w:val="24"/>
        </w:rPr>
      </w:pPr>
      <w:r w:rsidRPr="00C02727">
        <w:rPr>
          <w:szCs w:val="24"/>
        </w:rPr>
        <w:t>Unpainted Metal Parts: Plated for corrosion resistance.</w:t>
      </w:r>
    </w:p>
    <w:p w:rsidR="00385829" w:rsidRPr="00C02727" w:rsidRDefault="00385829" w:rsidP="00042974">
      <w:pPr>
        <w:pStyle w:val="Heading3"/>
        <w:spacing w:before="240"/>
        <w:rPr>
          <w:szCs w:val="24"/>
        </w:rPr>
      </w:pPr>
      <w:r w:rsidRPr="00C02727">
        <w:rPr>
          <w:szCs w:val="24"/>
        </w:rPr>
        <w:t xml:space="preserve">Optional Enclosure Type: Open for mounting in transfer control cubical in </w:t>
      </w:r>
      <w:r w:rsidR="00D46A93" w:rsidRPr="00C02727">
        <w:rPr>
          <w:szCs w:val="24"/>
        </w:rPr>
        <w:t>switch</w:t>
      </w:r>
      <w:r w:rsidR="00D46A93">
        <w:rPr>
          <w:szCs w:val="24"/>
        </w:rPr>
        <w:t>gear</w:t>
      </w:r>
      <w:r w:rsidRPr="00C02727">
        <w:rPr>
          <w:szCs w:val="24"/>
        </w:rPr>
        <w:t xml:space="preserve">. </w:t>
      </w:r>
      <w:r w:rsidR="002D0177">
        <w:rPr>
          <w:szCs w:val="24"/>
        </w:rPr>
        <w:t>C</w:t>
      </w:r>
      <w:r w:rsidRPr="00C02727">
        <w:rPr>
          <w:szCs w:val="24"/>
        </w:rPr>
        <w:t xml:space="preserve">ontractor has option to install automatic transfer control system in </w:t>
      </w:r>
      <w:r w:rsidR="00D46A93">
        <w:rPr>
          <w:szCs w:val="24"/>
        </w:rPr>
        <w:t>switchgear line-up</w:t>
      </w:r>
      <w:r w:rsidRPr="00C02727">
        <w:rPr>
          <w:szCs w:val="24"/>
        </w:rPr>
        <w:t>.</w:t>
      </w:r>
    </w:p>
    <w:p w:rsidR="00385829" w:rsidRPr="00C02727" w:rsidRDefault="00385829" w:rsidP="003B3CFA">
      <w:pPr>
        <w:pStyle w:val="Heading2"/>
        <w:rPr>
          <w:caps w:val="0"/>
          <w:szCs w:val="24"/>
        </w:rPr>
      </w:pPr>
      <w:r w:rsidRPr="00C02727">
        <w:rPr>
          <w:caps w:val="0"/>
          <w:szCs w:val="24"/>
        </w:rPr>
        <w:lastRenderedPageBreak/>
        <w:t>CONTROL MODULE</w:t>
      </w:r>
    </w:p>
    <w:p w:rsidR="00385829" w:rsidRPr="00C02727" w:rsidRDefault="00385829" w:rsidP="00042974">
      <w:pPr>
        <w:pStyle w:val="Heading3"/>
        <w:rPr>
          <w:szCs w:val="24"/>
        </w:rPr>
      </w:pPr>
      <w:r w:rsidRPr="00C02727">
        <w:rPr>
          <w:szCs w:val="24"/>
        </w:rPr>
        <w:t>Completely enclosed and mounted separately from switchgear.</w:t>
      </w:r>
    </w:p>
    <w:p w:rsidR="00385829" w:rsidRPr="00C02727" w:rsidRDefault="00385829" w:rsidP="00042974">
      <w:pPr>
        <w:pStyle w:val="Heading3"/>
        <w:rPr>
          <w:szCs w:val="24"/>
        </w:rPr>
      </w:pPr>
      <w:r w:rsidRPr="00C02727">
        <w:rPr>
          <w:szCs w:val="24"/>
        </w:rPr>
        <w:t>Microprocessor for sensing and logic control with inherent digital communications capability.</w:t>
      </w:r>
    </w:p>
    <w:p w:rsidR="00385829" w:rsidRPr="00C02727" w:rsidRDefault="00385829" w:rsidP="00042974">
      <w:pPr>
        <w:pStyle w:val="Heading3"/>
        <w:rPr>
          <w:szCs w:val="24"/>
        </w:rPr>
      </w:pPr>
      <w:r w:rsidRPr="00C02727">
        <w:rPr>
          <w:szCs w:val="24"/>
        </w:rPr>
        <w:t>Plug-in, industrial grade interfacing relays with dust covers.</w:t>
      </w:r>
    </w:p>
    <w:p w:rsidR="00385829" w:rsidRPr="00C02727" w:rsidRDefault="00385829" w:rsidP="00042974">
      <w:pPr>
        <w:pStyle w:val="Heading3"/>
        <w:rPr>
          <w:szCs w:val="24"/>
        </w:rPr>
      </w:pPr>
      <w:r w:rsidRPr="00C02727">
        <w:rPr>
          <w:szCs w:val="24"/>
        </w:rPr>
        <w:t>Connected to switchgear main breakers and tie-breaker by wiring harness having keyed disconnect plug.</w:t>
      </w:r>
    </w:p>
    <w:p w:rsidR="00385829" w:rsidRPr="00C02727" w:rsidRDefault="00385829" w:rsidP="003B3CFA">
      <w:pPr>
        <w:pStyle w:val="Heading3"/>
        <w:keepNext/>
        <w:rPr>
          <w:szCs w:val="24"/>
        </w:rPr>
      </w:pPr>
      <w:r w:rsidRPr="00C02727">
        <w:rPr>
          <w:szCs w:val="24"/>
        </w:rPr>
        <w:t>Plug-in printed circuit boards for sensing and control logic.</w:t>
      </w:r>
    </w:p>
    <w:p w:rsidR="00385829" w:rsidRPr="00C02727" w:rsidRDefault="00385829" w:rsidP="00042974">
      <w:pPr>
        <w:pStyle w:val="Heading3"/>
        <w:rPr>
          <w:szCs w:val="24"/>
        </w:rPr>
      </w:pPr>
      <w:r w:rsidRPr="00C02727">
        <w:rPr>
          <w:szCs w:val="24"/>
        </w:rPr>
        <w:t>Adjustable solid state undervoltage sensors for all three phases of normal and for one phase of standby generator source:</w:t>
      </w:r>
    </w:p>
    <w:p w:rsidR="00385829" w:rsidRPr="00C02727" w:rsidRDefault="00385829" w:rsidP="00042974">
      <w:pPr>
        <w:pStyle w:val="Heading4"/>
        <w:rPr>
          <w:szCs w:val="24"/>
        </w:rPr>
      </w:pPr>
      <w:r w:rsidRPr="00C02727">
        <w:rPr>
          <w:szCs w:val="24"/>
        </w:rPr>
        <w:t>Pickup</w:t>
      </w:r>
      <w:r w:rsidR="0098285C">
        <w:rPr>
          <w:szCs w:val="24"/>
        </w:rPr>
        <w:t>:</w:t>
      </w:r>
      <w:r w:rsidRPr="00C02727">
        <w:rPr>
          <w:szCs w:val="24"/>
        </w:rPr>
        <w:t xml:space="preserve"> 85 to 100 percent nominal.</w:t>
      </w:r>
    </w:p>
    <w:p w:rsidR="00385829" w:rsidRPr="00C02727" w:rsidRDefault="00385829" w:rsidP="00042974">
      <w:pPr>
        <w:pStyle w:val="Heading4"/>
        <w:rPr>
          <w:szCs w:val="24"/>
        </w:rPr>
      </w:pPr>
      <w:r w:rsidRPr="00C02727">
        <w:rPr>
          <w:szCs w:val="24"/>
        </w:rPr>
        <w:t>Dropout</w:t>
      </w:r>
      <w:r w:rsidR="0098285C">
        <w:rPr>
          <w:szCs w:val="24"/>
        </w:rPr>
        <w:t>:</w:t>
      </w:r>
      <w:r w:rsidRPr="00C02727">
        <w:rPr>
          <w:szCs w:val="24"/>
        </w:rPr>
        <w:t xml:space="preserve"> 75 to 98 percent of pickup setting.</w:t>
      </w:r>
    </w:p>
    <w:p w:rsidR="00385829" w:rsidRPr="00C02727" w:rsidRDefault="00385829" w:rsidP="00042974">
      <w:pPr>
        <w:pStyle w:val="Heading3"/>
        <w:spacing w:before="240"/>
        <w:rPr>
          <w:szCs w:val="24"/>
        </w:rPr>
      </w:pPr>
      <w:r w:rsidRPr="00C02727">
        <w:rPr>
          <w:szCs w:val="24"/>
        </w:rPr>
        <w:t>Adjustable frequency sensors for standby generator source:</w:t>
      </w:r>
    </w:p>
    <w:p w:rsidR="00385829" w:rsidRPr="00C02727" w:rsidRDefault="00385829" w:rsidP="00042974">
      <w:pPr>
        <w:pStyle w:val="Heading4"/>
        <w:rPr>
          <w:szCs w:val="24"/>
        </w:rPr>
      </w:pPr>
      <w:r w:rsidRPr="00C02727">
        <w:rPr>
          <w:szCs w:val="24"/>
        </w:rPr>
        <w:t>Pickup</w:t>
      </w:r>
      <w:r w:rsidR="0098285C">
        <w:rPr>
          <w:szCs w:val="24"/>
        </w:rPr>
        <w:t>:</w:t>
      </w:r>
      <w:r w:rsidRPr="00C02727">
        <w:rPr>
          <w:szCs w:val="24"/>
        </w:rPr>
        <w:t xml:space="preserve"> 90 to 100 percent nominal.</w:t>
      </w:r>
    </w:p>
    <w:p w:rsidR="00385829" w:rsidRPr="00C02727" w:rsidRDefault="00385829" w:rsidP="00042974">
      <w:pPr>
        <w:pStyle w:val="Heading4"/>
        <w:rPr>
          <w:szCs w:val="24"/>
        </w:rPr>
      </w:pPr>
      <w:r w:rsidRPr="00C02727">
        <w:rPr>
          <w:szCs w:val="24"/>
        </w:rPr>
        <w:t>Dropout</w:t>
      </w:r>
      <w:r w:rsidR="0098285C">
        <w:rPr>
          <w:szCs w:val="24"/>
        </w:rPr>
        <w:t>:</w:t>
      </w:r>
      <w:r w:rsidRPr="00C02727">
        <w:rPr>
          <w:szCs w:val="24"/>
        </w:rPr>
        <w:t xml:space="preserve"> 87 to 89 percent of pickup setting.</w:t>
      </w:r>
    </w:p>
    <w:p w:rsidR="00385829" w:rsidRPr="00C02727" w:rsidRDefault="00385829" w:rsidP="00042974">
      <w:pPr>
        <w:pStyle w:val="Heading3"/>
        <w:spacing w:before="240"/>
        <w:rPr>
          <w:szCs w:val="24"/>
        </w:rPr>
      </w:pPr>
      <w:r w:rsidRPr="00C02727">
        <w:rPr>
          <w:szCs w:val="24"/>
        </w:rPr>
        <w:t>Control module with adjustable time delays:</w:t>
      </w:r>
    </w:p>
    <w:p w:rsidR="00385829" w:rsidRPr="00C02727" w:rsidRDefault="00385829" w:rsidP="00042974">
      <w:pPr>
        <w:pStyle w:val="Heading4"/>
        <w:rPr>
          <w:szCs w:val="24"/>
        </w:rPr>
      </w:pPr>
      <w:r w:rsidRPr="00C02727">
        <w:rPr>
          <w:szCs w:val="24"/>
        </w:rPr>
        <w:t>0.5 to 6</w:t>
      </w:r>
      <w:r w:rsidRPr="00C02727">
        <w:rPr>
          <w:szCs w:val="24"/>
        </w:rPr>
        <w:noBreakHyphen/>
        <w:t>second engine start delay.</w:t>
      </w:r>
    </w:p>
    <w:p w:rsidR="00385829" w:rsidRPr="00C02727" w:rsidRDefault="00D25E71" w:rsidP="00042974">
      <w:pPr>
        <w:pStyle w:val="Heading4"/>
        <w:rPr>
          <w:szCs w:val="24"/>
        </w:rPr>
      </w:pPr>
      <w:r>
        <w:rPr>
          <w:szCs w:val="24"/>
        </w:rPr>
        <w:t>0</w:t>
      </w:r>
      <w:r w:rsidR="00385829" w:rsidRPr="00C02727">
        <w:rPr>
          <w:szCs w:val="24"/>
        </w:rPr>
        <w:t xml:space="preserve"> to 5</w:t>
      </w:r>
      <w:r w:rsidR="00385829" w:rsidRPr="00C02727">
        <w:rPr>
          <w:szCs w:val="24"/>
        </w:rPr>
        <w:noBreakHyphen/>
        <w:t>minute load transfer to standby generator delay.</w:t>
      </w:r>
    </w:p>
    <w:p w:rsidR="00385829" w:rsidRPr="00C02727" w:rsidRDefault="00385829" w:rsidP="00042974">
      <w:pPr>
        <w:pStyle w:val="Heading4"/>
        <w:rPr>
          <w:szCs w:val="24"/>
        </w:rPr>
      </w:pPr>
      <w:r w:rsidRPr="00C02727">
        <w:rPr>
          <w:szCs w:val="24"/>
        </w:rPr>
        <w:t>0 to 30</w:t>
      </w:r>
      <w:r w:rsidRPr="00C02727">
        <w:rPr>
          <w:szCs w:val="24"/>
        </w:rPr>
        <w:noBreakHyphen/>
        <w:t>minute retransfer to normal delay.</w:t>
      </w:r>
    </w:p>
    <w:p w:rsidR="00385829" w:rsidRPr="00C02727" w:rsidRDefault="00385829" w:rsidP="00042974">
      <w:pPr>
        <w:pStyle w:val="Heading4"/>
        <w:rPr>
          <w:szCs w:val="24"/>
        </w:rPr>
      </w:pPr>
      <w:r w:rsidRPr="00C02727">
        <w:rPr>
          <w:szCs w:val="24"/>
        </w:rPr>
        <w:t>0 to 30</w:t>
      </w:r>
      <w:r w:rsidRPr="00C02727">
        <w:rPr>
          <w:szCs w:val="24"/>
        </w:rPr>
        <w:noBreakHyphen/>
        <w:t>minute unload running time delay.</w:t>
      </w:r>
    </w:p>
    <w:p w:rsidR="00385829" w:rsidRPr="00C02727" w:rsidRDefault="00385829" w:rsidP="00042974">
      <w:pPr>
        <w:pStyle w:val="Heading4"/>
        <w:rPr>
          <w:szCs w:val="24"/>
        </w:rPr>
      </w:pPr>
      <w:r w:rsidRPr="00C02727">
        <w:rPr>
          <w:szCs w:val="24"/>
        </w:rPr>
        <w:t>Switch to bypass above time delays during testing.</w:t>
      </w:r>
    </w:p>
    <w:p w:rsidR="00385829" w:rsidRPr="00C02727" w:rsidRDefault="00385829" w:rsidP="00042974">
      <w:pPr>
        <w:pStyle w:val="Heading3"/>
        <w:spacing w:before="240"/>
        <w:rPr>
          <w:szCs w:val="24"/>
        </w:rPr>
      </w:pPr>
      <w:r w:rsidRPr="00C02727">
        <w:rPr>
          <w:szCs w:val="24"/>
        </w:rPr>
        <w:t>Form</w:t>
      </w:r>
      <w:r w:rsidRPr="00C02727">
        <w:rPr>
          <w:szCs w:val="24"/>
        </w:rPr>
        <w:noBreakHyphen/>
        <w:t>C start contacts, rated 10 amperes, 32</w:t>
      </w:r>
      <w:r w:rsidRPr="00C02727">
        <w:rPr>
          <w:szCs w:val="24"/>
        </w:rPr>
        <w:noBreakHyphen/>
        <w:t>volt dc, for two-wire engine control, wired to terminal block.</w:t>
      </w:r>
    </w:p>
    <w:p w:rsidR="00385829" w:rsidRPr="00C02727" w:rsidRDefault="00385829" w:rsidP="00042974">
      <w:pPr>
        <w:pStyle w:val="Heading3"/>
        <w:rPr>
          <w:szCs w:val="24"/>
        </w:rPr>
      </w:pPr>
      <w:r w:rsidRPr="00C02727">
        <w:rPr>
          <w:szCs w:val="24"/>
        </w:rPr>
        <w:t>Exerciser, adjustable in 15</w:t>
      </w:r>
      <w:r w:rsidRPr="00C02727">
        <w:rPr>
          <w:szCs w:val="24"/>
        </w:rPr>
        <w:noBreakHyphen/>
        <w:t>minute increments, 7</w:t>
      </w:r>
      <w:r w:rsidRPr="00C02727">
        <w:rPr>
          <w:szCs w:val="24"/>
        </w:rPr>
        <w:noBreakHyphen/>
        <w:t>day dial clock to automatically exercise generator complete with door mounted NO LOAD and LOAD selector switch.</w:t>
      </w:r>
    </w:p>
    <w:p w:rsidR="00385829" w:rsidRPr="00C02727" w:rsidRDefault="00385829" w:rsidP="00042974">
      <w:pPr>
        <w:pStyle w:val="Heading3"/>
        <w:rPr>
          <w:szCs w:val="24"/>
        </w:rPr>
      </w:pPr>
      <w:r w:rsidRPr="00C02727">
        <w:rPr>
          <w:szCs w:val="24"/>
        </w:rPr>
        <w:t>Adjustable 0 to 5 minutes time delay relay for engine starting signal.</w:t>
      </w:r>
    </w:p>
    <w:p w:rsidR="00385829" w:rsidRPr="00C02727" w:rsidRDefault="00385829" w:rsidP="003B3CFA">
      <w:pPr>
        <w:pStyle w:val="Heading2"/>
        <w:rPr>
          <w:caps w:val="0"/>
          <w:szCs w:val="24"/>
        </w:rPr>
      </w:pPr>
      <w:r w:rsidRPr="00C02727">
        <w:rPr>
          <w:caps w:val="0"/>
          <w:szCs w:val="24"/>
        </w:rPr>
        <w:t>INDICATORS</w:t>
      </w:r>
    </w:p>
    <w:p w:rsidR="00385829" w:rsidRPr="00C02727" w:rsidRDefault="00385829" w:rsidP="00042974">
      <w:pPr>
        <w:pStyle w:val="Heading3"/>
        <w:rPr>
          <w:szCs w:val="24"/>
        </w:rPr>
      </w:pPr>
      <w:r w:rsidRPr="00C02727">
        <w:rPr>
          <w:szCs w:val="24"/>
        </w:rPr>
        <w:t>Type:</w:t>
      </w:r>
      <w:r w:rsidRPr="00C02727">
        <w:rPr>
          <w:b/>
          <w:szCs w:val="24"/>
        </w:rPr>
        <w:t xml:space="preserve"> </w:t>
      </w:r>
      <w:r w:rsidRPr="00C02727">
        <w:rPr>
          <w:szCs w:val="24"/>
        </w:rPr>
        <w:t>Manufacturer’s standard.</w:t>
      </w:r>
    </w:p>
    <w:p w:rsidR="00385829" w:rsidRPr="00C02727" w:rsidRDefault="00385829" w:rsidP="00042974">
      <w:pPr>
        <w:pStyle w:val="Heading3"/>
        <w:rPr>
          <w:szCs w:val="24"/>
        </w:rPr>
      </w:pPr>
      <w:r w:rsidRPr="00C02727">
        <w:rPr>
          <w:szCs w:val="24"/>
        </w:rPr>
        <w:t>Green lens to indicate switchgear position for normal power source.</w:t>
      </w:r>
    </w:p>
    <w:p w:rsidR="00385829" w:rsidRPr="00C02727" w:rsidRDefault="00385829" w:rsidP="00042974">
      <w:pPr>
        <w:pStyle w:val="Heading3"/>
        <w:rPr>
          <w:szCs w:val="24"/>
        </w:rPr>
      </w:pPr>
      <w:r w:rsidRPr="00C02727">
        <w:rPr>
          <w:szCs w:val="24"/>
        </w:rPr>
        <w:t>Red lens to indicate switch position for standby generator power source.</w:t>
      </w:r>
    </w:p>
    <w:p w:rsidR="00385829" w:rsidRPr="00C02727" w:rsidRDefault="00385829" w:rsidP="00042974">
      <w:pPr>
        <w:pStyle w:val="Heading3"/>
        <w:rPr>
          <w:szCs w:val="24"/>
        </w:rPr>
      </w:pPr>
      <w:r w:rsidRPr="00C02727">
        <w:rPr>
          <w:szCs w:val="24"/>
        </w:rPr>
        <w:t>White lens to indicate normal power source is available within parameters established by pickup and dropout settings.</w:t>
      </w:r>
    </w:p>
    <w:p w:rsidR="00385829" w:rsidRPr="00C02727" w:rsidRDefault="00385829" w:rsidP="003B3CFA">
      <w:pPr>
        <w:pStyle w:val="Heading3"/>
        <w:keepNext/>
        <w:keepLines/>
        <w:rPr>
          <w:szCs w:val="24"/>
        </w:rPr>
      </w:pPr>
      <w:r w:rsidRPr="00C02727">
        <w:rPr>
          <w:szCs w:val="24"/>
        </w:rPr>
        <w:lastRenderedPageBreak/>
        <w:t>Amber lens to indicate standby generator power source is available within parameters established by pickup and dropout settings.</w:t>
      </w:r>
    </w:p>
    <w:p w:rsidR="00385829" w:rsidRPr="00C02727" w:rsidRDefault="00385829" w:rsidP="00042974">
      <w:pPr>
        <w:pStyle w:val="Heading3"/>
        <w:rPr>
          <w:szCs w:val="24"/>
        </w:rPr>
      </w:pPr>
      <w:r w:rsidRPr="00C02727">
        <w:rPr>
          <w:szCs w:val="24"/>
        </w:rPr>
        <w:t>Provide one normally open and one normally closed, 5 amperes, 120</w:t>
      </w:r>
      <w:r w:rsidRPr="00C02727">
        <w:rPr>
          <w:szCs w:val="24"/>
        </w:rPr>
        <w:noBreakHyphen/>
        <w:t>volt contact for remote indication when automatic transfer control system is in either position.</w:t>
      </w:r>
    </w:p>
    <w:p w:rsidR="001B0D5D" w:rsidRDefault="001B0D5D" w:rsidP="00042974">
      <w:pPr>
        <w:pStyle w:val="Heading2"/>
        <w:rPr>
          <w:caps w:val="0"/>
          <w:szCs w:val="24"/>
        </w:rPr>
      </w:pPr>
      <w:r>
        <w:rPr>
          <w:caps w:val="0"/>
          <w:szCs w:val="24"/>
        </w:rPr>
        <w:t>GENERATOR PARALLELING EQUIPMENT</w:t>
      </w:r>
    </w:p>
    <w:p w:rsidR="00D25E71" w:rsidRDefault="00D25E71" w:rsidP="00D25E71">
      <w:pPr>
        <w:pStyle w:val="Heading3"/>
      </w:pPr>
      <w:r w:rsidRPr="00D25E71">
        <w:t xml:space="preserve">When multiple generators are </w:t>
      </w:r>
      <w:r>
        <w:t xml:space="preserve">required </w:t>
      </w:r>
      <w:r w:rsidRPr="00D25E71">
        <w:t xml:space="preserve">at a given </w:t>
      </w:r>
      <w:r>
        <w:t>S</w:t>
      </w:r>
      <w:r w:rsidRPr="00D25E71">
        <w:t>ite, provide the following components for each</w:t>
      </w:r>
      <w:r>
        <w:t xml:space="preserve"> Owner</w:t>
      </w:r>
      <w:r>
        <w:noBreakHyphen/>
      </w:r>
      <w:r w:rsidRPr="00D25E71">
        <w:t>provided generator that will allow multiple generators to be parralleled to a common bus:</w:t>
      </w:r>
    </w:p>
    <w:p w:rsidR="00D25E71" w:rsidRDefault="00D25E71" w:rsidP="00D25E71">
      <w:pPr>
        <w:pStyle w:val="Heading4"/>
      </w:pPr>
      <w:r>
        <w:t>Baldor, IntelliGen Controller.</w:t>
      </w:r>
    </w:p>
    <w:p w:rsidR="00D25E71" w:rsidRDefault="00D25E71" w:rsidP="00D25E71">
      <w:pPr>
        <w:pStyle w:val="Heading4"/>
      </w:pPr>
      <w:r>
        <w:t>Baldor, Generator Paralleling Dongle.</w:t>
      </w:r>
    </w:p>
    <w:p w:rsidR="00D25E71" w:rsidRDefault="00D25E71" w:rsidP="00D25E71">
      <w:pPr>
        <w:pStyle w:val="Heading4"/>
      </w:pPr>
      <w:r>
        <w:t>Baldor, IG Transformer.</w:t>
      </w:r>
    </w:p>
    <w:p w:rsidR="00D25E71" w:rsidRDefault="00D25E71" w:rsidP="00D25E71">
      <w:pPr>
        <w:pStyle w:val="Heading4"/>
      </w:pPr>
      <w:r>
        <w:t>Baldor, IG AVR1.</w:t>
      </w:r>
    </w:p>
    <w:p w:rsidR="00D25E71" w:rsidRPr="00D25E71" w:rsidRDefault="00D25E71" w:rsidP="00D25E71">
      <w:pPr>
        <w:pStyle w:val="Heading4"/>
      </w:pPr>
      <w:r>
        <w:t>Baldor, Motorized Circuit Breaker.</w:t>
      </w:r>
    </w:p>
    <w:p w:rsidR="001B0D5D" w:rsidRDefault="00633079" w:rsidP="00714B9A">
      <w:pPr>
        <w:pStyle w:val="Heading2"/>
        <w:spacing w:before="240"/>
        <w:rPr>
          <w:caps w:val="0"/>
          <w:szCs w:val="24"/>
        </w:rPr>
      </w:pPr>
      <w:r>
        <w:rPr>
          <w:caps w:val="0"/>
          <w:szCs w:val="24"/>
        </w:rPr>
        <w:t xml:space="preserve">LOAD BASED </w:t>
      </w:r>
      <w:r w:rsidR="001B0D5D">
        <w:rPr>
          <w:caps w:val="0"/>
          <w:szCs w:val="24"/>
        </w:rPr>
        <w:t>GENERATOR CONTROL</w:t>
      </w:r>
      <w:r w:rsidR="00170E18">
        <w:rPr>
          <w:caps w:val="0"/>
          <w:szCs w:val="24"/>
        </w:rPr>
        <w:t>S</w:t>
      </w:r>
    </w:p>
    <w:p w:rsidR="00D25E71" w:rsidRDefault="00D25E71" w:rsidP="00D25E71">
      <w:pPr>
        <w:pStyle w:val="Heading3"/>
        <w:spacing w:before="240" w:after="0"/>
      </w:pPr>
      <w:r w:rsidRPr="00D25E71">
        <w:t>Where multiple generators are utilized at a given facility, provide generator and load controls to optimize generator operating</w:t>
      </w:r>
      <w:r>
        <w:t xml:space="preserve"> capacity with pump demand. L</w:t>
      </w:r>
      <w:r w:rsidRPr="00D25E71">
        <w:t>oad based generator controls (LBGC) shall monitor the number of pumps that level control system is requesting and initiate the appropriate number of generators prior to starting the individual pumps. LBGC shall be provided with the following functionality:</w:t>
      </w:r>
    </w:p>
    <w:p w:rsidR="00D25E71" w:rsidRDefault="00D25E71" w:rsidP="00D25E71">
      <w:pPr>
        <w:pStyle w:val="Heading4"/>
        <w:spacing w:before="240"/>
      </w:pPr>
      <w:r w:rsidRPr="00D25E71">
        <w:t>When Utility power is initially lost and ATC calls for generator operation, the LBGC shall call for all generators to start, reach rated voltage and frequency and allow each generator’s controller parallel to the generator side of the main switchgear. The LBGC shall then allow the ATC to close the generator main breaker in the main switchgear.</w:t>
      </w:r>
    </w:p>
    <w:p w:rsidR="00D25E71" w:rsidRPr="00D25E71" w:rsidRDefault="00D25E71" w:rsidP="00714B9A">
      <w:pPr>
        <w:pStyle w:val="Heading4"/>
        <w:spacing w:after="120"/>
      </w:pPr>
      <w:r w:rsidRPr="00D25E71">
        <w:t>Once initial load at pump station has stabilized for a period of 5 minutes, the LBGC shall initiate the shutdown of excess generators. The number of generators operating shall correlate with the numbered pumps in operation in the following table:</w:t>
      </w:r>
    </w:p>
    <w:tbl>
      <w:tblPr>
        <w:tblW w:w="9000" w:type="dxa"/>
        <w:tblInd w:w="828" w:type="dxa"/>
        <w:tblLayout w:type="fixed"/>
        <w:tblLook w:val="04A0"/>
      </w:tblPr>
      <w:tblGrid>
        <w:gridCol w:w="1350"/>
        <w:gridCol w:w="1530"/>
        <w:gridCol w:w="1530"/>
        <w:gridCol w:w="1530"/>
        <w:gridCol w:w="1530"/>
        <w:gridCol w:w="1530"/>
      </w:tblGrid>
      <w:tr w:rsidR="0098285C" w:rsidTr="0098285C">
        <w:trPr>
          <w:tblHeader/>
        </w:trPr>
        <w:tc>
          <w:tcPr>
            <w:tcW w:w="9000" w:type="dxa"/>
            <w:gridSpan w:val="6"/>
            <w:tcBorders>
              <w:top w:val="double" w:sz="4" w:space="0" w:color="auto"/>
              <w:left w:val="double" w:sz="4" w:space="0" w:color="auto"/>
              <w:bottom w:val="double" w:sz="4" w:space="0" w:color="auto"/>
              <w:right w:val="double" w:sz="4" w:space="0" w:color="auto"/>
            </w:tcBorders>
            <w:shd w:val="clear" w:color="auto" w:fill="auto"/>
            <w:vAlign w:val="bottom"/>
          </w:tcPr>
          <w:p w:rsidR="0098285C" w:rsidRPr="008B166E" w:rsidRDefault="002E29A4" w:rsidP="0098285C">
            <w:pPr>
              <w:pStyle w:val="TableHeading"/>
              <w:keepNext/>
            </w:pPr>
            <w:r>
              <w:t>Table 1</w:t>
            </w:r>
          </w:p>
        </w:tc>
      </w:tr>
      <w:tr w:rsidR="0098285C" w:rsidTr="0098285C">
        <w:trPr>
          <w:tblHeader/>
        </w:trPr>
        <w:tc>
          <w:tcPr>
            <w:tcW w:w="1350" w:type="dxa"/>
            <w:tcBorders>
              <w:top w:val="double" w:sz="4" w:space="0" w:color="auto"/>
              <w:left w:val="double" w:sz="4" w:space="0" w:color="auto"/>
              <w:bottom w:val="single" w:sz="4" w:space="0" w:color="auto"/>
              <w:right w:val="single" w:sz="4" w:space="0" w:color="auto"/>
            </w:tcBorders>
            <w:shd w:val="clear" w:color="auto" w:fill="auto"/>
            <w:vAlign w:val="bottom"/>
          </w:tcPr>
          <w:p w:rsidR="00C572AC" w:rsidRPr="008B166E" w:rsidRDefault="00C572AC" w:rsidP="0098285C">
            <w:pPr>
              <w:pStyle w:val="TableHeading"/>
              <w:keepNext/>
            </w:pPr>
            <w:r w:rsidRPr="008B166E">
              <w:t>Number of Generator</w:t>
            </w:r>
            <w:r w:rsidR="00714B9A">
              <w:t>s</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bottom"/>
          </w:tcPr>
          <w:p w:rsidR="00C572AC" w:rsidRPr="008B166E" w:rsidRDefault="00C572AC" w:rsidP="0098285C">
            <w:pPr>
              <w:pStyle w:val="TableHeading"/>
              <w:keepNext/>
            </w:pPr>
            <w:r w:rsidRPr="008B166E">
              <w:t>1</w:t>
            </w:r>
            <w:r w:rsidRPr="008B166E">
              <w:rPr>
                <w:vertAlign w:val="superscript"/>
              </w:rPr>
              <w:t>st</w:t>
            </w:r>
            <w:r w:rsidR="0098285C">
              <w:br/>
              <w:t>Pump Combination</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bottom"/>
          </w:tcPr>
          <w:p w:rsidR="00C572AC" w:rsidRPr="008B166E" w:rsidRDefault="00C572AC" w:rsidP="0098285C">
            <w:pPr>
              <w:pStyle w:val="TableHeading"/>
              <w:keepNext/>
            </w:pPr>
            <w:r w:rsidRPr="008B166E">
              <w:t>2</w:t>
            </w:r>
            <w:r w:rsidRPr="008B166E">
              <w:rPr>
                <w:vertAlign w:val="superscript"/>
              </w:rPr>
              <w:t>nd</w:t>
            </w:r>
            <w:r w:rsidR="0098285C">
              <w:rPr>
                <w:vertAlign w:val="superscript"/>
              </w:rPr>
              <w:br/>
            </w:r>
            <w:r w:rsidR="0098285C">
              <w:t>Pump Combination</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bottom"/>
          </w:tcPr>
          <w:p w:rsidR="00C572AC" w:rsidRPr="008B166E" w:rsidRDefault="00C572AC" w:rsidP="0098285C">
            <w:pPr>
              <w:pStyle w:val="TableHeading"/>
              <w:keepNext/>
            </w:pPr>
            <w:r w:rsidRPr="008B166E">
              <w:t>3</w:t>
            </w:r>
            <w:r w:rsidRPr="008B166E">
              <w:rPr>
                <w:vertAlign w:val="superscript"/>
              </w:rPr>
              <w:t>rd</w:t>
            </w:r>
            <w:r w:rsidR="0098285C">
              <w:rPr>
                <w:vertAlign w:val="superscript"/>
              </w:rPr>
              <w:br/>
            </w:r>
            <w:r w:rsidR="0098285C">
              <w:t>Pump Combination</w:t>
            </w:r>
          </w:p>
        </w:tc>
        <w:tc>
          <w:tcPr>
            <w:tcW w:w="1530" w:type="dxa"/>
            <w:tcBorders>
              <w:top w:val="double" w:sz="4" w:space="0" w:color="auto"/>
              <w:left w:val="single" w:sz="4" w:space="0" w:color="auto"/>
              <w:bottom w:val="single" w:sz="4" w:space="0" w:color="auto"/>
              <w:right w:val="single" w:sz="4" w:space="0" w:color="auto"/>
            </w:tcBorders>
            <w:shd w:val="clear" w:color="auto" w:fill="auto"/>
            <w:vAlign w:val="bottom"/>
          </w:tcPr>
          <w:p w:rsidR="00C572AC" w:rsidRPr="008B166E" w:rsidRDefault="00C572AC" w:rsidP="0098285C">
            <w:pPr>
              <w:pStyle w:val="TableHeading"/>
              <w:keepNext/>
            </w:pPr>
            <w:r w:rsidRPr="008B166E">
              <w:t>4</w:t>
            </w:r>
            <w:r w:rsidRPr="008B166E">
              <w:rPr>
                <w:vertAlign w:val="superscript"/>
              </w:rPr>
              <w:t>th</w:t>
            </w:r>
            <w:r w:rsidR="0098285C">
              <w:rPr>
                <w:vertAlign w:val="superscript"/>
              </w:rPr>
              <w:br/>
            </w:r>
            <w:r w:rsidR="0098285C">
              <w:t>Pump Combination</w:t>
            </w:r>
          </w:p>
        </w:tc>
        <w:tc>
          <w:tcPr>
            <w:tcW w:w="1530" w:type="dxa"/>
            <w:tcBorders>
              <w:top w:val="double" w:sz="4" w:space="0" w:color="auto"/>
              <w:left w:val="single" w:sz="4" w:space="0" w:color="auto"/>
              <w:bottom w:val="single" w:sz="4" w:space="0" w:color="auto"/>
              <w:right w:val="double" w:sz="4" w:space="0" w:color="auto"/>
            </w:tcBorders>
            <w:shd w:val="clear" w:color="auto" w:fill="auto"/>
            <w:vAlign w:val="bottom"/>
          </w:tcPr>
          <w:p w:rsidR="00C572AC" w:rsidRPr="008B166E" w:rsidRDefault="00C572AC" w:rsidP="0098285C">
            <w:pPr>
              <w:pStyle w:val="TableHeading"/>
              <w:keepNext/>
            </w:pPr>
            <w:r w:rsidRPr="008B166E">
              <w:t>5</w:t>
            </w:r>
            <w:r w:rsidRPr="008B166E">
              <w:rPr>
                <w:vertAlign w:val="superscript"/>
              </w:rPr>
              <w:t>th</w:t>
            </w:r>
            <w:r w:rsidR="0098285C">
              <w:rPr>
                <w:vertAlign w:val="superscript"/>
              </w:rPr>
              <w:br/>
            </w:r>
            <w:r w:rsidR="0098285C">
              <w:t>Pump Combination</w:t>
            </w:r>
          </w:p>
        </w:tc>
      </w:tr>
      <w:tr w:rsidR="0098285C" w:rsidTr="0098285C">
        <w:tc>
          <w:tcPr>
            <w:tcW w:w="1350" w:type="dxa"/>
            <w:tcBorders>
              <w:top w:val="single" w:sz="4" w:space="0" w:color="auto"/>
              <w:left w:val="double" w:sz="4" w:space="0" w:color="auto"/>
              <w:bottom w:val="single" w:sz="4" w:space="0" w:color="auto"/>
              <w:right w:val="single" w:sz="4" w:space="0" w:color="auto"/>
            </w:tcBorders>
            <w:shd w:val="clear" w:color="auto" w:fill="auto"/>
          </w:tcPr>
          <w:p w:rsidR="00C572AC" w:rsidRPr="008B166E" w:rsidRDefault="00C572AC" w:rsidP="002E29A4">
            <w:pPr>
              <w:pStyle w:val="TableText"/>
              <w:jc w:val="center"/>
            </w:pPr>
            <w:r w:rsidRPr="008B166E">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C572AC" w:rsidRPr="008B166E" w:rsidRDefault="00C572AC" w:rsidP="0098285C">
            <w:pPr>
              <w:pStyle w:val="TableText"/>
            </w:pPr>
          </w:p>
        </w:tc>
      </w:tr>
      <w:tr w:rsidR="0098285C" w:rsidTr="0098285C">
        <w:tc>
          <w:tcPr>
            <w:tcW w:w="1350" w:type="dxa"/>
            <w:tcBorders>
              <w:top w:val="single" w:sz="4" w:space="0" w:color="auto"/>
              <w:left w:val="double" w:sz="4" w:space="0" w:color="auto"/>
              <w:bottom w:val="single" w:sz="4" w:space="0" w:color="auto"/>
              <w:right w:val="single" w:sz="4" w:space="0" w:color="auto"/>
            </w:tcBorders>
            <w:shd w:val="clear" w:color="auto" w:fill="auto"/>
          </w:tcPr>
          <w:p w:rsidR="00C572AC" w:rsidRPr="008B166E" w:rsidRDefault="00C572AC" w:rsidP="002E29A4">
            <w:pPr>
              <w:pStyle w:val="TableText"/>
              <w:jc w:val="center"/>
            </w:pPr>
            <w:r w:rsidRPr="008B166E">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C572AC" w:rsidRPr="008B166E" w:rsidRDefault="00C572AC" w:rsidP="0098285C">
            <w:pPr>
              <w:pStyle w:val="TableText"/>
            </w:pPr>
          </w:p>
        </w:tc>
      </w:tr>
      <w:tr w:rsidR="0098285C" w:rsidTr="0098285C">
        <w:tc>
          <w:tcPr>
            <w:tcW w:w="1350" w:type="dxa"/>
            <w:tcBorders>
              <w:top w:val="single" w:sz="4" w:space="0" w:color="auto"/>
              <w:left w:val="double" w:sz="4" w:space="0" w:color="auto"/>
              <w:bottom w:val="single" w:sz="4" w:space="0" w:color="auto"/>
              <w:right w:val="single" w:sz="4" w:space="0" w:color="auto"/>
            </w:tcBorders>
            <w:shd w:val="clear" w:color="auto" w:fill="auto"/>
          </w:tcPr>
          <w:p w:rsidR="00C572AC" w:rsidRPr="008B166E" w:rsidRDefault="00C572AC" w:rsidP="002E29A4">
            <w:pPr>
              <w:pStyle w:val="TableText"/>
              <w:jc w:val="center"/>
            </w:pPr>
            <w:r w:rsidRPr="008B166E">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C572AC" w:rsidRPr="008B166E" w:rsidRDefault="00C572AC" w:rsidP="0098285C">
            <w:pPr>
              <w:pStyle w:val="TableText"/>
            </w:pPr>
          </w:p>
        </w:tc>
      </w:tr>
      <w:tr w:rsidR="0098285C" w:rsidTr="0098285C">
        <w:tc>
          <w:tcPr>
            <w:tcW w:w="1350" w:type="dxa"/>
            <w:tcBorders>
              <w:top w:val="single" w:sz="4" w:space="0" w:color="auto"/>
              <w:left w:val="double" w:sz="4" w:space="0" w:color="auto"/>
              <w:bottom w:val="single" w:sz="4" w:space="0" w:color="auto"/>
              <w:right w:val="single" w:sz="4" w:space="0" w:color="auto"/>
            </w:tcBorders>
            <w:shd w:val="clear" w:color="auto" w:fill="auto"/>
          </w:tcPr>
          <w:p w:rsidR="00C572AC" w:rsidRPr="008B166E" w:rsidRDefault="00C572AC" w:rsidP="002E29A4">
            <w:pPr>
              <w:pStyle w:val="TableText"/>
              <w:jc w:val="center"/>
            </w:pPr>
            <w:r w:rsidRPr="008B166E">
              <w:t>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single" w:sz="4" w:space="0" w:color="auto"/>
              <w:right w:val="double" w:sz="4" w:space="0" w:color="auto"/>
            </w:tcBorders>
            <w:shd w:val="clear" w:color="auto" w:fill="auto"/>
          </w:tcPr>
          <w:p w:rsidR="00C572AC" w:rsidRPr="008B166E" w:rsidRDefault="00C572AC" w:rsidP="0098285C">
            <w:pPr>
              <w:pStyle w:val="TableText"/>
            </w:pPr>
          </w:p>
        </w:tc>
      </w:tr>
      <w:tr w:rsidR="0098285C" w:rsidTr="0098285C">
        <w:tc>
          <w:tcPr>
            <w:tcW w:w="1350" w:type="dxa"/>
            <w:tcBorders>
              <w:top w:val="single" w:sz="4" w:space="0" w:color="auto"/>
              <w:left w:val="double" w:sz="4" w:space="0" w:color="auto"/>
              <w:bottom w:val="double" w:sz="4" w:space="0" w:color="auto"/>
              <w:right w:val="single" w:sz="4" w:space="0" w:color="auto"/>
            </w:tcBorders>
            <w:shd w:val="clear" w:color="auto" w:fill="auto"/>
          </w:tcPr>
          <w:p w:rsidR="00C572AC" w:rsidRPr="008B166E" w:rsidRDefault="00C572AC" w:rsidP="002E29A4">
            <w:pPr>
              <w:pStyle w:val="TableText"/>
              <w:jc w:val="center"/>
            </w:pPr>
            <w:r w:rsidRPr="008B166E">
              <w:t>5</w:t>
            </w:r>
          </w:p>
        </w:tc>
        <w:tc>
          <w:tcPr>
            <w:tcW w:w="1530" w:type="dxa"/>
            <w:tcBorders>
              <w:top w:val="single" w:sz="4" w:space="0" w:color="auto"/>
              <w:left w:val="single" w:sz="4" w:space="0" w:color="auto"/>
              <w:bottom w:val="doub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doub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doub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double" w:sz="4" w:space="0" w:color="auto"/>
              <w:right w:val="single" w:sz="4" w:space="0" w:color="auto"/>
            </w:tcBorders>
            <w:shd w:val="clear" w:color="auto" w:fill="auto"/>
          </w:tcPr>
          <w:p w:rsidR="00C572AC" w:rsidRPr="008B166E" w:rsidRDefault="00C572AC" w:rsidP="0098285C">
            <w:pPr>
              <w:pStyle w:val="TableText"/>
            </w:pPr>
          </w:p>
        </w:tc>
        <w:tc>
          <w:tcPr>
            <w:tcW w:w="1530" w:type="dxa"/>
            <w:tcBorders>
              <w:top w:val="single" w:sz="4" w:space="0" w:color="auto"/>
              <w:left w:val="single" w:sz="4" w:space="0" w:color="auto"/>
              <w:bottom w:val="double" w:sz="4" w:space="0" w:color="auto"/>
              <w:right w:val="double" w:sz="4" w:space="0" w:color="auto"/>
            </w:tcBorders>
            <w:shd w:val="clear" w:color="auto" w:fill="auto"/>
          </w:tcPr>
          <w:p w:rsidR="00C572AC" w:rsidRPr="008B166E" w:rsidRDefault="00C572AC" w:rsidP="0098285C">
            <w:pPr>
              <w:pStyle w:val="TableText"/>
            </w:pPr>
          </w:p>
        </w:tc>
      </w:tr>
    </w:tbl>
    <w:p w:rsidR="002D0177" w:rsidRPr="00317046" w:rsidRDefault="0046700D" w:rsidP="00714B9A">
      <w:pPr>
        <w:pStyle w:val="Heading4"/>
        <w:spacing w:before="120"/>
        <w:rPr>
          <w:rStyle w:val="Heading4Char"/>
        </w:rPr>
      </w:pPr>
      <w:r w:rsidRPr="00317046">
        <w:rPr>
          <w:rStyle w:val="Heading4Char"/>
        </w:rPr>
        <w:t>When pump station level control</w:t>
      </w:r>
      <w:r w:rsidR="000A5331" w:rsidRPr="00317046">
        <w:rPr>
          <w:rStyle w:val="Heading4Char"/>
        </w:rPr>
        <w:t>s</w:t>
      </w:r>
      <w:r w:rsidRPr="00317046">
        <w:rPr>
          <w:rStyle w:val="Heading4Char"/>
        </w:rPr>
        <w:t xml:space="preserve"> requests an additional pump</w:t>
      </w:r>
      <w:r w:rsidR="000A5331" w:rsidRPr="00317046">
        <w:rPr>
          <w:rStyle w:val="Heading4Char"/>
        </w:rPr>
        <w:t xml:space="preserve"> to start</w:t>
      </w:r>
      <w:r w:rsidRPr="00317046">
        <w:rPr>
          <w:rStyle w:val="Heading4Char"/>
        </w:rPr>
        <w:t xml:space="preserve">, the LBGC shall </w:t>
      </w:r>
      <w:r w:rsidR="000A5331" w:rsidRPr="00317046">
        <w:rPr>
          <w:rStyle w:val="Heading4Char"/>
        </w:rPr>
        <w:t xml:space="preserve">verify that the appropriate generator capacity is </w:t>
      </w:r>
      <w:r w:rsidR="000A5331" w:rsidRPr="00317046">
        <w:rPr>
          <w:rStyle w:val="Heading4Char"/>
        </w:rPr>
        <w:lastRenderedPageBreak/>
        <w:t>operating and if neede</w:t>
      </w:r>
      <w:r w:rsidR="00317046">
        <w:rPr>
          <w:rStyle w:val="Heading4Char"/>
        </w:rPr>
        <w:t xml:space="preserve">d start additional generators. </w:t>
      </w:r>
      <w:r w:rsidR="000A5331" w:rsidRPr="00317046">
        <w:rPr>
          <w:rStyle w:val="Heading4Char"/>
        </w:rPr>
        <w:t>The LBGC shall acknowledge appropriate generating capacity via a discrete signal to the pump station level controls to allow the additional pump to start.</w:t>
      </w:r>
    </w:p>
    <w:p w:rsidR="002D0177" w:rsidRPr="00317046" w:rsidRDefault="000A5331" w:rsidP="00317046">
      <w:pPr>
        <w:pStyle w:val="Heading4"/>
      </w:pPr>
      <w:r w:rsidRPr="00317046">
        <w:t xml:space="preserve">When pump station level controls stops a pump, the LBGC shall initiate the shutdown of excess generators to match </w:t>
      </w:r>
      <w:r w:rsidR="002E29A4">
        <w:t>T</w:t>
      </w:r>
      <w:r w:rsidRPr="00317046">
        <w:t xml:space="preserve">able </w:t>
      </w:r>
      <w:r w:rsidR="002E29A4">
        <w:t>1 above</w:t>
      </w:r>
      <w:r w:rsidRPr="00317046">
        <w:t>.</w:t>
      </w:r>
    </w:p>
    <w:p w:rsidR="002D0177" w:rsidRPr="00317046" w:rsidRDefault="007C3931" w:rsidP="00714B9A">
      <w:pPr>
        <w:pStyle w:val="Heading3"/>
        <w:spacing w:before="240"/>
        <w:rPr>
          <w:szCs w:val="24"/>
        </w:rPr>
      </w:pPr>
      <w:r w:rsidRPr="00317046">
        <w:rPr>
          <w:szCs w:val="24"/>
        </w:rPr>
        <w:t xml:space="preserve">The </w:t>
      </w:r>
      <w:r w:rsidR="00A9645B" w:rsidRPr="00317046">
        <w:rPr>
          <w:szCs w:val="24"/>
        </w:rPr>
        <w:t>LBGC shall incorporate the following I/O points:</w:t>
      </w:r>
    </w:p>
    <w:p w:rsidR="002E29A4" w:rsidRPr="002E29A4" w:rsidRDefault="00A9645B" w:rsidP="00317046">
      <w:pPr>
        <w:pStyle w:val="Heading4"/>
        <w:rPr>
          <w:rStyle w:val="Heading4Char"/>
          <w:rFonts w:eastAsia="Times New Roman"/>
          <w:sz w:val="22"/>
          <w:szCs w:val="20"/>
        </w:rPr>
      </w:pPr>
      <w:r w:rsidRPr="00317046">
        <w:rPr>
          <w:rStyle w:val="Heading4Char"/>
        </w:rPr>
        <w:t xml:space="preserve">Discrete Inputs: </w:t>
      </w:r>
    </w:p>
    <w:p w:rsidR="002E29A4" w:rsidRPr="002E29A4" w:rsidRDefault="00A9645B" w:rsidP="002E29A4">
      <w:pPr>
        <w:pStyle w:val="Heading5"/>
        <w:rPr>
          <w:rStyle w:val="Heading4Char"/>
          <w:rFonts w:eastAsia="Times New Roman"/>
          <w:sz w:val="22"/>
          <w:szCs w:val="20"/>
        </w:rPr>
      </w:pPr>
      <w:r w:rsidRPr="00317046">
        <w:rPr>
          <w:rStyle w:val="Heading4Char"/>
        </w:rPr>
        <w:t>Pump ON</w:t>
      </w:r>
      <w:r w:rsidR="002E29A4">
        <w:rPr>
          <w:rStyle w:val="Heading4Char"/>
        </w:rPr>
        <w:t>:</w:t>
      </w:r>
      <w:r w:rsidRPr="00317046">
        <w:rPr>
          <w:rStyle w:val="Heading4Char"/>
        </w:rPr>
        <w:t xml:space="preserve"> </w:t>
      </w:r>
      <w:r w:rsidR="002E29A4">
        <w:rPr>
          <w:rStyle w:val="Heading4Char"/>
        </w:rPr>
        <w:t>C</w:t>
      </w:r>
      <w:r w:rsidRPr="00317046">
        <w:rPr>
          <w:rStyle w:val="Heading4Char"/>
        </w:rPr>
        <w:t>ommand from pump station level controls fo</w:t>
      </w:r>
      <w:r w:rsidR="00317046">
        <w:rPr>
          <w:rStyle w:val="Heading4Char"/>
        </w:rPr>
        <w:t>r</w:t>
      </w:r>
      <w:r w:rsidRPr="00317046">
        <w:rPr>
          <w:rStyle w:val="Heading4Char"/>
        </w:rPr>
        <w:t xml:space="preserve"> eac</w:t>
      </w:r>
      <w:r w:rsidR="00317046">
        <w:rPr>
          <w:rStyle w:val="Heading4Char"/>
        </w:rPr>
        <w:t xml:space="preserve">h pump. </w:t>
      </w:r>
    </w:p>
    <w:p w:rsidR="002E29A4" w:rsidRPr="002E29A4" w:rsidRDefault="00A9645B" w:rsidP="002E29A4">
      <w:pPr>
        <w:pStyle w:val="Heading5"/>
        <w:rPr>
          <w:rStyle w:val="Heading4Char"/>
          <w:rFonts w:eastAsia="Times New Roman"/>
          <w:sz w:val="22"/>
          <w:szCs w:val="20"/>
        </w:rPr>
      </w:pPr>
      <w:r w:rsidRPr="00317046">
        <w:rPr>
          <w:rStyle w:val="Heading4Char"/>
        </w:rPr>
        <w:t>Generator RUNNING</w:t>
      </w:r>
      <w:r w:rsidR="002E29A4">
        <w:rPr>
          <w:rStyle w:val="Heading4Char"/>
        </w:rPr>
        <w:t>:</w:t>
      </w:r>
      <w:r w:rsidRPr="00317046">
        <w:rPr>
          <w:rStyle w:val="Heading4Char"/>
        </w:rPr>
        <w:t xml:space="preserve"> </w:t>
      </w:r>
      <w:r w:rsidR="002E29A4">
        <w:rPr>
          <w:rStyle w:val="Heading4Char"/>
        </w:rPr>
        <w:t>S</w:t>
      </w:r>
      <w:r w:rsidR="007350BA" w:rsidRPr="00317046">
        <w:rPr>
          <w:rStyle w:val="Heading4Char"/>
        </w:rPr>
        <w:t>tatus</w:t>
      </w:r>
      <w:r w:rsidR="00317046">
        <w:rPr>
          <w:rStyle w:val="Heading4Char"/>
        </w:rPr>
        <w:t xml:space="preserve"> from each </w:t>
      </w:r>
      <w:r w:rsidR="002E29A4">
        <w:rPr>
          <w:rStyle w:val="Heading4Char"/>
        </w:rPr>
        <w:t>g</w:t>
      </w:r>
      <w:r w:rsidR="00317046">
        <w:rPr>
          <w:rStyle w:val="Heading4Char"/>
        </w:rPr>
        <w:t>enerator.</w:t>
      </w:r>
    </w:p>
    <w:p w:rsidR="002E29A4" w:rsidRPr="002E29A4" w:rsidRDefault="00A9645B" w:rsidP="002E29A4">
      <w:pPr>
        <w:pStyle w:val="Heading5"/>
        <w:rPr>
          <w:rStyle w:val="Heading4Char"/>
          <w:rFonts w:eastAsia="Times New Roman"/>
          <w:sz w:val="22"/>
          <w:szCs w:val="20"/>
        </w:rPr>
      </w:pPr>
      <w:r w:rsidRPr="00317046">
        <w:rPr>
          <w:rStyle w:val="Heading4Char"/>
        </w:rPr>
        <w:t xml:space="preserve">Standby source </w:t>
      </w:r>
      <w:r w:rsidR="00317046">
        <w:rPr>
          <w:rStyle w:val="Heading4Char"/>
        </w:rPr>
        <w:t>ON</w:t>
      </w:r>
      <w:r w:rsidR="002E29A4">
        <w:rPr>
          <w:rStyle w:val="Heading4Char"/>
        </w:rPr>
        <w:t>:</w:t>
      </w:r>
      <w:r w:rsidR="00317046">
        <w:rPr>
          <w:rStyle w:val="Heading4Char"/>
        </w:rPr>
        <w:t xml:space="preserve"> </w:t>
      </w:r>
      <w:r w:rsidR="002E29A4">
        <w:rPr>
          <w:rStyle w:val="Heading4Char"/>
        </w:rPr>
        <w:t>C</w:t>
      </w:r>
      <w:r w:rsidR="00317046">
        <w:rPr>
          <w:rStyle w:val="Heading4Char"/>
        </w:rPr>
        <w:t>ommand from ATC.</w:t>
      </w:r>
    </w:p>
    <w:p w:rsidR="002D0177" w:rsidRPr="00317046" w:rsidRDefault="007350BA" w:rsidP="002E29A4">
      <w:pPr>
        <w:pStyle w:val="Heading5"/>
      </w:pPr>
      <w:r w:rsidRPr="00317046">
        <w:rPr>
          <w:rStyle w:val="Heading4Char"/>
        </w:rPr>
        <w:t>Wet well HIGH-HIGH level alarm.</w:t>
      </w:r>
    </w:p>
    <w:p w:rsidR="002E29A4" w:rsidRPr="002E29A4" w:rsidRDefault="007350BA" w:rsidP="00317046">
      <w:pPr>
        <w:pStyle w:val="Heading4"/>
        <w:rPr>
          <w:rStyle w:val="Heading4Char"/>
          <w:rFonts w:eastAsia="Times New Roman"/>
          <w:sz w:val="22"/>
          <w:szCs w:val="20"/>
        </w:rPr>
      </w:pPr>
      <w:r w:rsidRPr="00317046">
        <w:rPr>
          <w:rStyle w:val="Heading4Char"/>
        </w:rPr>
        <w:t>Discrete Outputs:</w:t>
      </w:r>
    </w:p>
    <w:p w:rsidR="002E29A4" w:rsidRPr="002E29A4" w:rsidRDefault="007350BA" w:rsidP="002E29A4">
      <w:pPr>
        <w:pStyle w:val="Heading5"/>
        <w:rPr>
          <w:rStyle w:val="Heading4Char"/>
          <w:rFonts w:eastAsia="Times New Roman"/>
          <w:sz w:val="22"/>
          <w:szCs w:val="20"/>
        </w:rPr>
      </w:pPr>
      <w:r w:rsidRPr="00317046">
        <w:rPr>
          <w:rStyle w:val="Heading4Char"/>
        </w:rPr>
        <w:t>Generator RUN</w:t>
      </w:r>
      <w:r w:rsidR="002E29A4">
        <w:rPr>
          <w:rStyle w:val="Heading4Char"/>
        </w:rPr>
        <w:t>:</w:t>
      </w:r>
      <w:r w:rsidRPr="00317046">
        <w:rPr>
          <w:rStyle w:val="Heading4Char"/>
        </w:rPr>
        <w:t xml:space="preserve"> </w:t>
      </w:r>
      <w:r w:rsidR="002E29A4">
        <w:rPr>
          <w:rStyle w:val="Heading4Char"/>
        </w:rPr>
        <w:t>C</w:t>
      </w:r>
      <w:r w:rsidRPr="00317046">
        <w:rPr>
          <w:rStyle w:val="Heading4Char"/>
        </w:rPr>
        <w:t>ommand for each generator.</w:t>
      </w:r>
    </w:p>
    <w:p w:rsidR="002E29A4" w:rsidRPr="002E29A4" w:rsidRDefault="007350BA" w:rsidP="002E29A4">
      <w:pPr>
        <w:pStyle w:val="Heading5"/>
        <w:rPr>
          <w:rStyle w:val="Heading4Char"/>
          <w:rFonts w:eastAsia="Times New Roman"/>
          <w:sz w:val="22"/>
          <w:szCs w:val="20"/>
        </w:rPr>
      </w:pPr>
      <w:r w:rsidRPr="00317046">
        <w:rPr>
          <w:rStyle w:val="Heading4Char"/>
        </w:rPr>
        <w:t>Pump RUN</w:t>
      </w:r>
      <w:r w:rsidR="002E29A4">
        <w:rPr>
          <w:rStyle w:val="Heading4Char"/>
        </w:rPr>
        <w:t>:</w:t>
      </w:r>
      <w:r w:rsidRPr="00317046">
        <w:rPr>
          <w:rStyle w:val="Heading4Char"/>
        </w:rPr>
        <w:t xml:space="preserve"> </w:t>
      </w:r>
      <w:r w:rsidR="002E29A4">
        <w:rPr>
          <w:rStyle w:val="Heading4Char"/>
        </w:rPr>
        <w:t>P</w:t>
      </w:r>
      <w:r w:rsidRPr="00317046">
        <w:rPr>
          <w:rStyle w:val="Heading4Char"/>
        </w:rPr>
        <w:t>ermissive for each pump.</w:t>
      </w:r>
    </w:p>
    <w:p w:rsidR="002D0177" w:rsidRPr="00317046" w:rsidRDefault="00737A80" w:rsidP="002E29A4">
      <w:pPr>
        <w:pStyle w:val="Heading5"/>
      </w:pPr>
      <w:r w:rsidRPr="00317046">
        <w:rPr>
          <w:rStyle w:val="Heading4Char"/>
        </w:rPr>
        <w:t>LBGC common FAIL to SCADA system.</w:t>
      </w:r>
    </w:p>
    <w:p w:rsidR="00385829" w:rsidRPr="00C02727" w:rsidRDefault="00385829" w:rsidP="00714B9A">
      <w:pPr>
        <w:pStyle w:val="Heading2"/>
        <w:spacing w:before="240"/>
        <w:rPr>
          <w:caps w:val="0"/>
          <w:szCs w:val="24"/>
        </w:rPr>
      </w:pPr>
      <w:r w:rsidRPr="00C02727">
        <w:rPr>
          <w:caps w:val="0"/>
          <w:szCs w:val="24"/>
        </w:rPr>
        <w:t>FACTORY TESTS</w:t>
      </w:r>
    </w:p>
    <w:p w:rsidR="00385829" w:rsidRPr="00C02727" w:rsidRDefault="00385829" w:rsidP="00042974">
      <w:pPr>
        <w:pStyle w:val="Heading3"/>
        <w:rPr>
          <w:szCs w:val="24"/>
        </w:rPr>
      </w:pPr>
      <w:r w:rsidRPr="00C02727">
        <w:rPr>
          <w:szCs w:val="24"/>
        </w:rPr>
        <w:t xml:space="preserve">Test to </w:t>
      </w:r>
      <w:r w:rsidR="008B166E" w:rsidRPr="00C02727">
        <w:rPr>
          <w:szCs w:val="24"/>
        </w:rPr>
        <w:t>ensure correct</w:t>
      </w:r>
      <w:r w:rsidRPr="00C02727">
        <w:rPr>
          <w:szCs w:val="24"/>
        </w:rPr>
        <w:t>:</w:t>
      </w:r>
    </w:p>
    <w:p w:rsidR="00385829" w:rsidRPr="00C02727" w:rsidRDefault="00385829" w:rsidP="00042974">
      <w:pPr>
        <w:pStyle w:val="Heading4"/>
        <w:rPr>
          <w:szCs w:val="24"/>
        </w:rPr>
      </w:pPr>
      <w:r w:rsidRPr="00C02727">
        <w:rPr>
          <w:szCs w:val="24"/>
        </w:rPr>
        <w:t>Operation of individual components.</w:t>
      </w:r>
    </w:p>
    <w:p w:rsidR="00385829" w:rsidRPr="00C02727" w:rsidRDefault="00385829" w:rsidP="00042974">
      <w:pPr>
        <w:pStyle w:val="Heading4"/>
        <w:rPr>
          <w:szCs w:val="24"/>
        </w:rPr>
      </w:pPr>
      <w:r w:rsidRPr="00C02727">
        <w:rPr>
          <w:szCs w:val="24"/>
        </w:rPr>
        <w:t>Sequence of operation.</w:t>
      </w:r>
    </w:p>
    <w:p w:rsidR="00385829" w:rsidRPr="00C02727" w:rsidRDefault="00385829" w:rsidP="00042974">
      <w:pPr>
        <w:pStyle w:val="Heading4"/>
        <w:rPr>
          <w:szCs w:val="24"/>
        </w:rPr>
      </w:pPr>
      <w:r w:rsidRPr="00C02727">
        <w:rPr>
          <w:szCs w:val="24"/>
        </w:rPr>
        <w:t>Transfer time, voltage, frequency, and time delay settings.</w:t>
      </w:r>
    </w:p>
    <w:p w:rsidR="00385829" w:rsidRPr="00C02727" w:rsidRDefault="00385829" w:rsidP="003B3CFA">
      <w:pPr>
        <w:pStyle w:val="Heading1"/>
        <w:spacing w:before="240"/>
      </w:pPr>
      <w:r w:rsidRPr="00C02727">
        <w:t>PART 3</w:t>
      </w:r>
      <w:r w:rsidRPr="00C02727">
        <w:tab/>
        <w:t>EXECUTION</w:t>
      </w:r>
    </w:p>
    <w:p w:rsidR="00385829" w:rsidRPr="00C02727" w:rsidRDefault="00385829" w:rsidP="00042974">
      <w:pPr>
        <w:pStyle w:val="Heading2"/>
        <w:rPr>
          <w:caps w:val="0"/>
          <w:szCs w:val="24"/>
        </w:rPr>
      </w:pPr>
      <w:r w:rsidRPr="00C02727">
        <w:rPr>
          <w:caps w:val="0"/>
          <w:szCs w:val="24"/>
        </w:rPr>
        <w:t>INSTALLATION</w:t>
      </w:r>
    </w:p>
    <w:p w:rsidR="00385829" w:rsidRPr="00C02727" w:rsidRDefault="00385829" w:rsidP="003B3CFA">
      <w:pPr>
        <w:pStyle w:val="Heading3"/>
        <w:rPr>
          <w:szCs w:val="24"/>
        </w:rPr>
      </w:pPr>
      <w:r w:rsidRPr="00C02727">
        <w:rPr>
          <w:szCs w:val="24"/>
        </w:rPr>
        <w:t>Install in accordance with manufacturer’s instructions.</w:t>
      </w:r>
    </w:p>
    <w:p w:rsidR="005E57B3" w:rsidRPr="005E57B3" w:rsidRDefault="00385829" w:rsidP="005E57B3">
      <w:pPr>
        <w:pStyle w:val="Heading3"/>
      </w:pPr>
      <w:r w:rsidRPr="005E57B3">
        <w:rPr>
          <w:szCs w:val="24"/>
        </w:rPr>
        <w:t>Secure enclosure to structural steel channels attached to wall surface.</w:t>
      </w:r>
      <w:bookmarkStart w:id="1" w:name="_Toc196708557"/>
    </w:p>
    <w:p w:rsidR="005E57B3" w:rsidRPr="004A6B9D" w:rsidRDefault="005E57B3" w:rsidP="005E57B3">
      <w:pPr>
        <w:pStyle w:val="Heading2"/>
      </w:pPr>
      <w:r w:rsidRPr="004A6B9D">
        <w:t>FIELD QUALITY CONTROL</w:t>
      </w:r>
      <w:bookmarkEnd w:id="1"/>
    </w:p>
    <w:p w:rsidR="005E57B3" w:rsidRPr="004A6B9D" w:rsidRDefault="005E57B3" w:rsidP="005E57B3">
      <w:pPr>
        <w:pStyle w:val="SPECText3"/>
      </w:pPr>
      <w:r w:rsidRPr="004A6B9D">
        <w:t>Functional</w:t>
      </w:r>
      <w:r w:rsidR="001114F7">
        <w:t xml:space="preserve"> </w:t>
      </w:r>
      <w:r w:rsidRPr="004A6B9D">
        <w:t>Test:</w:t>
      </w:r>
    </w:p>
    <w:p w:rsidR="005E57B3" w:rsidRPr="004A6B9D" w:rsidRDefault="005E57B3" w:rsidP="005E57B3">
      <w:pPr>
        <w:pStyle w:val="SPECText4"/>
      </w:pPr>
      <w:r w:rsidRPr="004A6B9D">
        <w:t>Conduct on each controller.</w:t>
      </w:r>
    </w:p>
    <w:p w:rsidR="005E57B3" w:rsidRDefault="005E57B3" w:rsidP="001114F7">
      <w:pPr>
        <w:pStyle w:val="SPECText4"/>
      </w:pPr>
      <w:r w:rsidRPr="004A6B9D">
        <w:t xml:space="preserve">Inspect </w:t>
      </w:r>
      <w:r w:rsidR="001114F7">
        <w:t>ATCS</w:t>
      </w:r>
      <w:r w:rsidRPr="004A6B9D">
        <w:t xml:space="preserve"> for electrical supply termination connections, interconnections, proper installation, and operation.</w:t>
      </w:r>
    </w:p>
    <w:p w:rsidR="001114F7" w:rsidRPr="004A6B9D" w:rsidRDefault="001114F7" w:rsidP="001114F7">
      <w:pPr>
        <w:pStyle w:val="SPECText4"/>
      </w:pPr>
      <w:r w:rsidRPr="004A6B9D">
        <w:t xml:space="preserve">Test for </w:t>
      </w:r>
      <w:r>
        <w:t xml:space="preserve">system operation with main-tie-main breakers and generator(s) in every possible scenario of breaker position, generator and utility source availability and operation all duty pumps, if LBGC is provided, to assure that they system will not encounter a situational </w:t>
      </w:r>
      <w:r w:rsidRPr="004A6B9D">
        <w:t>malfunction.</w:t>
      </w:r>
    </w:p>
    <w:p w:rsidR="005E57B3" w:rsidRPr="004A6B9D" w:rsidRDefault="005E57B3" w:rsidP="005E57B3">
      <w:pPr>
        <w:pStyle w:val="SPECText4"/>
      </w:pPr>
      <w:r w:rsidRPr="004A6B9D">
        <w:t>Record test data for report.</w:t>
      </w:r>
    </w:p>
    <w:p w:rsidR="005E57B3" w:rsidRPr="004A6B9D" w:rsidRDefault="005E57B3" w:rsidP="005E57B3">
      <w:pPr>
        <w:pStyle w:val="STNoteSpec"/>
      </w:pPr>
    </w:p>
    <w:p w:rsidR="005E57B3" w:rsidRPr="004A6B9D" w:rsidRDefault="005E57B3" w:rsidP="005E57B3">
      <w:pPr>
        <w:pStyle w:val="SPECText3"/>
      </w:pPr>
      <w:r w:rsidRPr="004A6B9D">
        <w:t>Performance Test:</w:t>
      </w:r>
    </w:p>
    <w:p w:rsidR="005E57B3" w:rsidRPr="004A6B9D" w:rsidRDefault="005E57B3" w:rsidP="005E57B3">
      <w:pPr>
        <w:pStyle w:val="SPECText4"/>
      </w:pPr>
      <w:r w:rsidRPr="004A6B9D">
        <w:t xml:space="preserve">Conduct on </w:t>
      </w:r>
      <w:r w:rsidR="00CB6E0C">
        <w:t>entire installed system, including main switchgear, engine generators and pumps</w:t>
      </w:r>
      <w:r w:rsidRPr="004A6B9D">
        <w:t>.</w:t>
      </w:r>
    </w:p>
    <w:p w:rsidR="005E57B3" w:rsidRPr="004A6B9D" w:rsidRDefault="005E57B3" w:rsidP="005E57B3">
      <w:pPr>
        <w:pStyle w:val="SPECText4"/>
      </w:pPr>
      <w:r w:rsidRPr="004A6B9D">
        <w:lastRenderedPageBreak/>
        <w:t>Perform under actual or approved simulated operating conditions.</w:t>
      </w:r>
    </w:p>
    <w:p w:rsidR="001114F7" w:rsidRDefault="001114F7" w:rsidP="005E57B3">
      <w:pPr>
        <w:pStyle w:val="SPECText4"/>
      </w:pPr>
      <w:r>
        <w:t xml:space="preserve">Demonstrate proper transfer of load from Utility source to engine generator source with the simulation of Utility power loss, including all associated </w:t>
      </w:r>
      <w:r w:rsidR="00DF7385">
        <w:t>sequence timers.</w:t>
      </w:r>
    </w:p>
    <w:p w:rsidR="00DF7385" w:rsidRDefault="00DF7385" w:rsidP="00DF7385">
      <w:pPr>
        <w:pStyle w:val="SPECText4"/>
      </w:pPr>
      <w:r>
        <w:t>Demonstrate proper transfer of load back from engine generator source to Utility source, including all associated sequence and cool-down timers.</w:t>
      </w:r>
    </w:p>
    <w:p w:rsidR="005E57B3" w:rsidRPr="004A6B9D" w:rsidRDefault="005E57B3" w:rsidP="005E57B3">
      <w:pPr>
        <w:pStyle w:val="SPECText4"/>
      </w:pPr>
      <w:r w:rsidRPr="004A6B9D">
        <w:t>Demonstrate performance</w:t>
      </w:r>
      <w:r w:rsidR="003E027A">
        <w:t xml:space="preserve"> of the LBGC</w:t>
      </w:r>
      <w:r w:rsidRPr="004A6B9D">
        <w:t xml:space="preserve"> by </w:t>
      </w:r>
      <w:r w:rsidR="003E027A">
        <w:t xml:space="preserve">manually </w:t>
      </w:r>
      <w:r w:rsidRPr="004A6B9D">
        <w:t xml:space="preserve">operating </w:t>
      </w:r>
      <w:r w:rsidR="003E027A">
        <w:t>combinations of pumps</w:t>
      </w:r>
      <w:r w:rsidRPr="004A6B9D">
        <w:t>, as input conditions</w:t>
      </w:r>
      <w:r w:rsidR="003E027A">
        <w:t xml:space="preserve"> and wet well level</w:t>
      </w:r>
      <w:r w:rsidRPr="004A6B9D">
        <w:t xml:space="preserve"> allow</w:t>
      </w:r>
      <w:r w:rsidR="003E027A">
        <w:t>s</w:t>
      </w:r>
      <w:r w:rsidRPr="004A6B9D">
        <w:t xml:space="preserve">, to verify </w:t>
      </w:r>
      <w:r w:rsidR="003E027A">
        <w:t>the appropriate number of generators operate</w:t>
      </w:r>
      <w:r w:rsidRPr="004A6B9D">
        <w:t>.</w:t>
      </w:r>
    </w:p>
    <w:p w:rsidR="005E57B3" w:rsidRDefault="005E57B3" w:rsidP="005E57B3">
      <w:pPr>
        <w:pStyle w:val="SPECText4"/>
      </w:pPr>
      <w:r w:rsidRPr="004A6B9D">
        <w:t>Record test data for report.</w:t>
      </w:r>
    </w:p>
    <w:p w:rsidR="001114F7" w:rsidRPr="004A6B9D" w:rsidRDefault="001114F7" w:rsidP="001114F7">
      <w:pPr>
        <w:pStyle w:val="SPECText4"/>
        <w:numPr>
          <w:ilvl w:val="0"/>
          <w:numId w:val="0"/>
        </w:numPr>
        <w:ind w:left="2160"/>
      </w:pPr>
    </w:p>
    <w:p w:rsidR="005E57B3" w:rsidRPr="004A6B9D" w:rsidRDefault="005E57B3" w:rsidP="003E027A">
      <w:pPr>
        <w:pStyle w:val="Heading2"/>
      </w:pPr>
      <w:bookmarkStart w:id="2" w:name="_Toc196708558"/>
      <w:r w:rsidRPr="004A6B9D">
        <w:t>MANUFACTURERS’ SERVICES</w:t>
      </w:r>
      <w:bookmarkEnd w:id="2"/>
    </w:p>
    <w:p w:rsidR="005E57B3" w:rsidRPr="004A6B9D" w:rsidRDefault="005E57B3" w:rsidP="003E027A">
      <w:pPr>
        <w:pStyle w:val="Heading3"/>
      </w:pPr>
      <w:r w:rsidRPr="004A6B9D">
        <w:t>Manufacturer’s Representative: Present at Site or classroom designated by Owner, for minimum person-days listed below, travel time excluded:</w:t>
      </w:r>
    </w:p>
    <w:p w:rsidR="005E57B3" w:rsidRPr="004A6B9D" w:rsidRDefault="003E027A" w:rsidP="003E027A">
      <w:pPr>
        <w:pStyle w:val="Heading4"/>
      </w:pPr>
      <w:r>
        <w:t>2</w:t>
      </w:r>
      <w:r w:rsidR="005E57B3" w:rsidRPr="004A6B9D">
        <w:t> person-days for installation assistance</w:t>
      </w:r>
      <w:r>
        <w:t xml:space="preserve"> </w:t>
      </w:r>
      <w:r w:rsidR="005E57B3" w:rsidRPr="004A6B9D">
        <w:t>and</w:t>
      </w:r>
      <w:r>
        <w:t xml:space="preserve"> </w:t>
      </w:r>
      <w:r w:rsidR="005E57B3" w:rsidRPr="004A6B9D">
        <w:t>inspection.</w:t>
      </w:r>
    </w:p>
    <w:p w:rsidR="005E57B3" w:rsidRPr="004A6B9D" w:rsidRDefault="003E027A" w:rsidP="003E027A">
      <w:pPr>
        <w:pStyle w:val="Heading4"/>
      </w:pPr>
      <w:r>
        <w:t>3</w:t>
      </w:r>
      <w:r w:rsidR="005E57B3" w:rsidRPr="004A6B9D">
        <w:t> person-days for functional</w:t>
      </w:r>
      <w:r>
        <w:t xml:space="preserve"> </w:t>
      </w:r>
      <w:r w:rsidR="005E57B3" w:rsidRPr="004A6B9D">
        <w:t>and performance testing and completion of Manufacturer’s Certificate of Proper Installation.</w:t>
      </w:r>
    </w:p>
    <w:p w:rsidR="005E57B3" w:rsidRPr="004A6B9D" w:rsidRDefault="003E027A" w:rsidP="003E027A">
      <w:pPr>
        <w:pStyle w:val="Heading4"/>
      </w:pPr>
      <w:r>
        <w:t>1</w:t>
      </w:r>
      <w:r w:rsidR="005E57B3" w:rsidRPr="004A6B9D">
        <w:t> person-days for</w:t>
      </w:r>
      <w:r>
        <w:t xml:space="preserve"> functional demonstration to be witnessed by Owner </w:t>
      </w:r>
      <w:r w:rsidR="001114F7">
        <w:t xml:space="preserve">and </w:t>
      </w:r>
      <w:r w:rsidR="001114F7" w:rsidRPr="004A6B9D">
        <w:t>Site</w:t>
      </w:r>
      <w:r w:rsidR="005E57B3" w:rsidRPr="004A6B9D">
        <w:t xml:space="preserve"> training</w:t>
      </w:r>
      <w:r>
        <w:t xml:space="preserve"> of proper operation</w:t>
      </w:r>
      <w:r w:rsidR="005E57B3" w:rsidRPr="004A6B9D">
        <w:t>.</w:t>
      </w:r>
    </w:p>
    <w:p w:rsidR="00416514" w:rsidRPr="003B3CFA" w:rsidRDefault="00385829" w:rsidP="003B3CFA">
      <w:pPr>
        <w:pStyle w:val="SectionEnd"/>
        <w:rPr>
          <w:szCs w:val="24"/>
        </w:rPr>
      </w:pPr>
      <w:r w:rsidRPr="00C02727">
        <w:t>END OF SECTION</w:t>
      </w:r>
    </w:p>
    <w:sectPr w:rsidR="00416514" w:rsidRPr="003B3CFA" w:rsidSect="00C572AC">
      <w:headerReference w:type="even" r:id="rId9"/>
      <w:headerReference w:type="default" r:id="rId10"/>
      <w:footerReference w:type="even" r:id="rId11"/>
      <w:footerReference w:type="default" r:id="rId12"/>
      <w:type w:val="oddPage"/>
      <w:pgSz w:w="12240" w:h="15840" w:code="1"/>
      <w:pgMar w:top="990" w:right="1440" w:bottom="720" w:left="1440" w:header="720" w:footer="720" w:gutter="360"/>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CB" w:rsidRDefault="00447ECB">
      <w:r>
        <w:separator/>
      </w:r>
    </w:p>
  </w:endnote>
  <w:endnote w:type="continuationSeparator" w:id="0">
    <w:p w:rsidR="00447ECB" w:rsidRDefault="00447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rsidP="003B3CFA">
    <w:pPr>
      <w:pStyle w:val="Footer"/>
    </w:pPr>
  </w:p>
  <w:p w:rsidR="0098285C" w:rsidRDefault="0098285C" w:rsidP="003B3CFA">
    <w:pPr>
      <w:pStyle w:val="Footer"/>
    </w:pPr>
    <w:r>
      <w:rPr>
        <w:rStyle w:val="PageNumber"/>
      </w:rPr>
      <w:t>AUTOMATIC TRANSFER CONTROL SYSTEM</w:t>
    </w:r>
    <w:r>
      <w:rPr>
        <w:rStyle w:val="PageNumber"/>
      </w:rPr>
      <w:tab/>
      <w:t>350589.P4</w:t>
    </w:r>
  </w:p>
  <w:p w:rsidR="0098285C" w:rsidRDefault="0098285C" w:rsidP="0020210A">
    <w:pPr>
      <w:pStyle w:val="Footer"/>
    </w:pPr>
    <w:r>
      <w:t xml:space="preserve">26 36 24 - </w:t>
    </w:r>
    <w:fldSimple w:instr=" PAGE  \* MERGEFORMAT ">
      <w:r w:rsidR="00186178">
        <w:rPr>
          <w:noProof/>
        </w:rPr>
        <w:t>2</w:t>
      </w:r>
    </w:fldSimple>
    <w:r>
      <w:tab/>
    </w:r>
    <w:fldSimple w:instr=" DATE \@ &quot;MMMM d, yyyy&quot; \* MERGEFORMAT ">
      <w:r w:rsidR="00186178">
        <w:rPr>
          <w:noProof/>
        </w:rPr>
        <w:t>October 14, 2010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rsidP="003B3CFA">
    <w:pPr>
      <w:pStyle w:val="Footer"/>
    </w:pPr>
  </w:p>
  <w:p w:rsidR="0098285C" w:rsidRDefault="0098285C" w:rsidP="003B3CFA">
    <w:pPr>
      <w:pStyle w:val="Footer"/>
    </w:pPr>
    <w:r>
      <w:t>350589.P4</w:t>
    </w:r>
    <w:r>
      <w:tab/>
    </w:r>
    <w:r w:rsidRPr="003B3CFA">
      <w:rPr>
        <w:szCs w:val="24"/>
      </w:rPr>
      <w:t>AUTOMATIC TRANSFER CONTROL SYSTEM</w:t>
    </w:r>
  </w:p>
  <w:p w:rsidR="0098285C" w:rsidRDefault="002405AE" w:rsidP="003B3CFA">
    <w:pPr>
      <w:pStyle w:val="Footer"/>
    </w:pPr>
    <w:fldSimple w:instr=" DATE \@ &quot;MMMM d, yyyy&quot; \* MERGEFORMAT ">
      <w:r w:rsidR="00186178">
        <w:rPr>
          <w:noProof/>
        </w:rPr>
        <w:t>October 14, 2010</w:t>
      </w:r>
    </w:fldSimple>
    <w:r w:rsidR="0098285C">
      <w:tab/>
      <w:t xml:space="preserve">26 36 24 - </w:t>
    </w:r>
    <w:fldSimple w:instr=" PAGE  \* MERGEFORMAT ">
      <w:r w:rsidR="0018617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CB" w:rsidRDefault="00447ECB">
      <w:r>
        <w:separator/>
      </w:r>
    </w:p>
  </w:footnote>
  <w:footnote w:type="continuationSeparator" w:id="0">
    <w:p w:rsidR="00447ECB" w:rsidRDefault="00447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rsidP="003B3CFA">
    <w:pPr>
      <w:pStyle w:val="Header"/>
    </w:pPr>
    <w:r>
      <w:t>350589D.GN1</w:t>
    </w:r>
  </w:p>
  <w:p w:rsidR="0098285C" w:rsidRDefault="0098285C" w:rsidP="003B3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5C" w:rsidRDefault="0098285C" w:rsidP="003B3CFA">
    <w:pPr>
      <w:pStyle w:val="Header"/>
    </w:pPr>
    <w:r>
      <w:tab/>
    </w:r>
    <w:r>
      <w:tab/>
      <w:t>350589A.GN1</w:t>
    </w:r>
  </w:p>
  <w:p w:rsidR="0098285C" w:rsidRDefault="0098285C" w:rsidP="003B3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C024C26"/>
    <w:lvl w:ilvl="0">
      <w:start w:val="1"/>
      <w:numFmt w:val="decimal"/>
      <w:pStyle w:val="Heading1"/>
      <w:lvlText w:val="%1"/>
      <w:lvlJc w:val="left"/>
      <w:pPr>
        <w:tabs>
          <w:tab w:val="num" w:pos="0"/>
        </w:tabs>
        <w:ind w:left="0" w:hanging="2304"/>
      </w:pPr>
    </w:lvl>
    <w:lvl w:ilvl="1">
      <w:start w:val="1"/>
      <w:numFmt w:val="decimalZero"/>
      <w:pStyle w:val="Heading2"/>
      <w:lvlText w:val="%1.%2"/>
      <w:lvlJc w:val="left"/>
      <w:pPr>
        <w:tabs>
          <w:tab w:val="num" w:pos="864"/>
        </w:tabs>
        <w:ind w:left="864" w:hanging="864"/>
      </w:pPr>
    </w:lvl>
    <w:lvl w:ilvl="2">
      <w:start w:val="1"/>
      <w:numFmt w:val="upperLetter"/>
      <w:pStyle w:val="Heading3"/>
      <w:lvlText w:val="%3."/>
      <w:lvlJc w:val="left"/>
      <w:pPr>
        <w:tabs>
          <w:tab w:val="num" w:pos="0"/>
        </w:tabs>
        <w:ind w:left="1440" w:hanging="576"/>
      </w:pPr>
    </w:lvl>
    <w:lvl w:ilvl="3">
      <w:start w:val="1"/>
      <w:numFmt w:val="decimal"/>
      <w:pStyle w:val="Heading4"/>
      <w:lvlText w:val="%4."/>
      <w:lvlJc w:val="left"/>
      <w:pPr>
        <w:tabs>
          <w:tab w:val="num" w:pos="0"/>
        </w:tabs>
        <w:ind w:left="2016" w:hanging="576"/>
      </w:pPr>
    </w:lvl>
    <w:lvl w:ilvl="4">
      <w:start w:val="1"/>
      <w:numFmt w:val="lowerLetter"/>
      <w:pStyle w:val="Heading5"/>
      <w:lvlText w:val="%5."/>
      <w:lvlJc w:val="left"/>
      <w:pPr>
        <w:tabs>
          <w:tab w:val="num" w:pos="0"/>
        </w:tabs>
        <w:ind w:left="2592" w:hanging="576"/>
      </w:pPr>
    </w:lvl>
    <w:lvl w:ilvl="5">
      <w:start w:val="1"/>
      <w:numFmt w:val="decimal"/>
      <w:pStyle w:val="Heading6"/>
      <w:lvlText w:val="%6)"/>
      <w:lvlJc w:val="left"/>
      <w:pPr>
        <w:tabs>
          <w:tab w:val="num" w:pos="0"/>
        </w:tabs>
        <w:ind w:left="3168" w:hanging="576"/>
      </w:pPr>
    </w:lvl>
    <w:lvl w:ilvl="6">
      <w:start w:val="1"/>
      <w:numFmt w:val="lowerLetter"/>
      <w:pStyle w:val="Heading7"/>
      <w:lvlText w:val="%7)"/>
      <w:lvlJc w:val="left"/>
      <w:pPr>
        <w:tabs>
          <w:tab w:val="num" w:pos="0"/>
        </w:tabs>
        <w:ind w:left="3744" w:hanging="576"/>
      </w:pPr>
    </w:lvl>
    <w:lvl w:ilvl="7">
      <w:start w:val="1"/>
      <w:numFmt w:val="decimal"/>
      <w:pStyle w:val="Heading8"/>
      <w:lvlText w:val="(%8)"/>
      <w:lvlJc w:val="left"/>
      <w:pPr>
        <w:tabs>
          <w:tab w:val="num" w:pos="0"/>
        </w:tabs>
        <w:ind w:left="4320" w:hanging="576"/>
      </w:pPr>
    </w:lvl>
    <w:lvl w:ilvl="8">
      <w:start w:val="1"/>
      <w:numFmt w:val="lowerLetter"/>
      <w:pStyle w:val="Heading9"/>
      <w:lvlText w:val="(%9)"/>
      <w:lvlJc w:val="left"/>
      <w:pPr>
        <w:tabs>
          <w:tab w:val="num" w:pos="0"/>
        </w:tabs>
        <w:ind w:left="4896" w:hanging="576"/>
      </w:pPr>
    </w:lvl>
  </w:abstractNum>
  <w:abstractNum w:abstractNumId="1">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2">
    <w:nsid w:val="6FC653F4"/>
    <w:multiLevelType w:val="multilevel"/>
    <w:tmpl w:val="9F702128"/>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linkStyles/>
  <w:stylePaneFormatFilter w:val="3F01"/>
  <w:documentProtection w:edit="trackedChanges" w:enforcement="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85829"/>
    <w:rsid w:val="00002C80"/>
    <w:rsid w:val="00042974"/>
    <w:rsid w:val="00051EAD"/>
    <w:rsid w:val="000A5331"/>
    <w:rsid w:val="000B2C15"/>
    <w:rsid w:val="000D683C"/>
    <w:rsid w:val="000E05BE"/>
    <w:rsid w:val="001114F7"/>
    <w:rsid w:val="00111D5E"/>
    <w:rsid w:val="00137CA8"/>
    <w:rsid w:val="00170E18"/>
    <w:rsid w:val="00186178"/>
    <w:rsid w:val="001B0D5D"/>
    <w:rsid w:val="001D511B"/>
    <w:rsid w:val="001D51F2"/>
    <w:rsid w:val="0020210A"/>
    <w:rsid w:val="00225DBE"/>
    <w:rsid w:val="002314F7"/>
    <w:rsid w:val="002372FE"/>
    <w:rsid w:val="002405AE"/>
    <w:rsid w:val="00261311"/>
    <w:rsid w:val="002672A2"/>
    <w:rsid w:val="00296AC0"/>
    <w:rsid w:val="002C1C18"/>
    <w:rsid w:val="002D0177"/>
    <w:rsid w:val="002D5F45"/>
    <w:rsid w:val="002E29A4"/>
    <w:rsid w:val="002F2185"/>
    <w:rsid w:val="003002E8"/>
    <w:rsid w:val="0031522C"/>
    <w:rsid w:val="00317046"/>
    <w:rsid w:val="00326D40"/>
    <w:rsid w:val="003562D7"/>
    <w:rsid w:val="00370191"/>
    <w:rsid w:val="00375B98"/>
    <w:rsid w:val="003807B9"/>
    <w:rsid w:val="00383E06"/>
    <w:rsid w:val="003849D7"/>
    <w:rsid w:val="00385829"/>
    <w:rsid w:val="003B3CFA"/>
    <w:rsid w:val="003C2D26"/>
    <w:rsid w:val="003E027A"/>
    <w:rsid w:val="003E0A83"/>
    <w:rsid w:val="00401748"/>
    <w:rsid w:val="00402ABA"/>
    <w:rsid w:val="00416514"/>
    <w:rsid w:val="00441A43"/>
    <w:rsid w:val="00447ECB"/>
    <w:rsid w:val="0046118A"/>
    <w:rsid w:val="0046700D"/>
    <w:rsid w:val="004B4F7A"/>
    <w:rsid w:val="004C7800"/>
    <w:rsid w:val="004D1997"/>
    <w:rsid w:val="004D66DA"/>
    <w:rsid w:val="004E5311"/>
    <w:rsid w:val="004F162F"/>
    <w:rsid w:val="00517C86"/>
    <w:rsid w:val="00550612"/>
    <w:rsid w:val="00552FE7"/>
    <w:rsid w:val="005976D6"/>
    <w:rsid w:val="005B5654"/>
    <w:rsid w:val="005E10F2"/>
    <w:rsid w:val="005E57B3"/>
    <w:rsid w:val="00616817"/>
    <w:rsid w:val="0061772C"/>
    <w:rsid w:val="00633079"/>
    <w:rsid w:val="0063607A"/>
    <w:rsid w:val="00662FF2"/>
    <w:rsid w:val="006A5A39"/>
    <w:rsid w:val="006E3539"/>
    <w:rsid w:val="00714B9A"/>
    <w:rsid w:val="007350BA"/>
    <w:rsid w:val="00737A80"/>
    <w:rsid w:val="007767D2"/>
    <w:rsid w:val="007938AC"/>
    <w:rsid w:val="007A5F8A"/>
    <w:rsid w:val="007B7B96"/>
    <w:rsid w:val="007C3931"/>
    <w:rsid w:val="00804175"/>
    <w:rsid w:val="0084638D"/>
    <w:rsid w:val="008629DA"/>
    <w:rsid w:val="00863747"/>
    <w:rsid w:val="00887798"/>
    <w:rsid w:val="008A1F66"/>
    <w:rsid w:val="008B166E"/>
    <w:rsid w:val="009411BF"/>
    <w:rsid w:val="00952399"/>
    <w:rsid w:val="0096590B"/>
    <w:rsid w:val="00982743"/>
    <w:rsid w:val="0098285C"/>
    <w:rsid w:val="009D0539"/>
    <w:rsid w:val="009D5286"/>
    <w:rsid w:val="009E39C0"/>
    <w:rsid w:val="00A31F62"/>
    <w:rsid w:val="00A6675C"/>
    <w:rsid w:val="00A9645B"/>
    <w:rsid w:val="00AE3ABF"/>
    <w:rsid w:val="00AE6148"/>
    <w:rsid w:val="00AF7E46"/>
    <w:rsid w:val="00B122EA"/>
    <w:rsid w:val="00B15BA0"/>
    <w:rsid w:val="00B5372E"/>
    <w:rsid w:val="00B86443"/>
    <w:rsid w:val="00BB075E"/>
    <w:rsid w:val="00BD2AB5"/>
    <w:rsid w:val="00BE496C"/>
    <w:rsid w:val="00C15DF9"/>
    <w:rsid w:val="00C20FA6"/>
    <w:rsid w:val="00C24145"/>
    <w:rsid w:val="00C572AC"/>
    <w:rsid w:val="00CA088C"/>
    <w:rsid w:val="00CA1D51"/>
    <w:rsid w:val="00CA5885"/>
    <w:rsid w:val="00CB6E0C"/>
    <w:rsid w:val="00CC3F3C"/>
    <w:rsid w:val="00CF2AB0"/>
    <w:rsid w:val="00CF6DBE"/>
    <w:rsid w:val="00D22BBB"/>
    <w:rsid w:val="00D25E71"/>
    <w:rsid w:val="00D46A93"/>
    <w:rsid w:val="00D624D5"/>
    <w:rsid w:val="00D637B2"/>
    <w:rsid w:val="00D873CF"/>
    <w:rsid w:val="00DB15EC"/>
    <w:rsid w:val="00DB401A"/>
    <w:rsid w:val="00DE31EC"/>
    <w:rsid w:val="00DF317B"/>
    <w:rsid w:val="00DF7385"/>
    <w:rsid w:val="00E769BE"/>
    <w:rsid w:val="00EA5821"/>
    <w:rsid w:val="00ED519B"/>
    <w:rsid w:val="00F0104C"/>
    <w:rsid w:val="00F23A74"/>
    <w:rsid w:val="00F5193F"/>
    <w:rsid w:val="00F553C2"/>
    <w:rsid w:val="00F67530"/>
    <w:rsid w:val="00FD2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B9A"/>
    <w:pPr>
      <w:widowControl w:val="0"/>
    </w:pPr>
    <w:rPr>
      <w:snapToGrid w:val="0"/>
      <w:sz w:val="22"/>
    </w:rPr>
  </w:style>
  <w:style w:type="paragraph" w:styleId="Heading1">
    <w:name w:val="heading 1"/>
    <w:basedOn w:val="Normal"/>
    <w:next w:val="Heading2"/>
    <w:qFormat/>
    <w:rsid w:val="004D66DA"/>
    <w:pPr>
      <w:keepNext/>
      <w:numPr>
        <w:numId w:val="1"/>
      </w:numPr>
      <w:spacing w:after="240"/>
      <w:outlineLvl w:val="0"/>
    </w:pPr>
    <w:rPr>
      <w:b/>
      <w:caps/>
    </w:rPr>
  </w:style>
  <w:style w:type="paragraph" w:styleId="Heading2">
    <w:name w:val="heading 2"/>
    <w:basedOn w:val="Normal"/>
    <w:next w:val="Heading3"/>
    <w:link w:val="Heading2Char"/>
    <w:qFormat/>
    <w:rsid w:val="004D66DA"/>
    <w:pPr>
      <w:keepNext/>
      <w:numPr>
        <w:ilvl w:val="1"/>
        <w:numId w:val="1"/>
      </w:numPr>
      <w:spacing w:after="240"/>
      <w:outlineLvl w:val="1"/>
    </w:pPr>
    <w:rPr>
      <w:caps/>
    </w:rPr>
  </w:style>
  <w:style w:type="paragraph" w:styleId="Heading3">
    <w:name w:val="heading 3"/>
    <w:basedOn w:val="Normal"/>
    <w:link w:val="Heading3Char"/>
    <w:qFormat/>
    <w:rsid w:val="004D66DA"/>
    <w:pPr>
      <w:numPr>
        <w:ilvl w:val="2"/>
        <w:numId w:val="1"/>
      </w:numPr>
      <w:spacing w:after="240"/>
      <w:outlineLvl w:val="2"/>
    </w:pPr>
  </w:style>
  <w:style w:type="paragraph" w:styleId="Heading4">
    <w:name w:val="heading 4"/>
    <w:basedOn w:val="Normal"/>
    <w:link w:val="Heading4Char"/>
    <w:qFormat/>
    <w:rsid w:val="004D66DA"/>
    <w:pPr>
      <w:numPr>
        <w:ilvl w:val="3"/>
        <w:numId w:val="1"/>
      </w:numPr>
      <w:outlineLvl w:val="3"/>
    </w:pPr>
  </w:style>
  <w:style w:type="paragraph" w:styleId="Heading5">
    <w:name w:val="heading 5"/>
    <w:basedOn w:val="Normal"/>
    <w:link w:val="Heading5Char"/>
    <w:qFormat/>
    <w:rsid w:val="004D66DA"/>
    <w:pPr>
      <w:numPr>
        <w:ilvl w:val="4"/>
        <w:numId w:val="1"/>
      </w:numPr>
      <w:outlineLvl w:val="4"/>
    </w:pPr>
  </w:style>
  <w:style w:type="paragraph" w:styleId="Heading6">
    <w:name w:val="heading 6"/>
    <w:basedOn w:val="Normal"/>
    <w:qFormat/>
    <w:rsid w:val="004D66DA"/>
    <w:pPr>
      <w:numPr>
        <w:ilvl w:val="5"/>
        <w:numId w:val="1"/>
      </w:numPr>
      <w:outlineLvl w:val="5"/>
    </w:pPr>
  </w:style>
  <w:style w:type="paragraph" w:styleId="Heading7">
    <w:name w:val="heading 7"/>
    <w:basedOn w:val="Normal"/>
    <w:qFormat/>
    <w:rsid w:val="004D66DA"/>
    <w:pPr>
      <w:numPr>
        <w:ilvl w:val="6"/>
        <w:numId w:val="1"/>
      </w:numPr>
      <w:outlineLvl w:val="6"/>
    </w:pPr>
  </w:style>
  <w:style w:type="paragraph" w:styleId="Heading8">
    <w:name w:val="heading 8"/>
    <w:basedOn w:val="Normal"/>
    <w:qFormat/>
    <w:rsid w:val="004D66DA"/>
    <w:pPr>
      <w:numPr>
        <w:ilvl w:val="7"/>
        <w:numId w:val="1"/>
      </w:numPr>
      <w:outlineLvl w:val="7"/>
    </w:pPr>
  </w:style>
  <w:style w:type="paragraph" w:styleId="Heading9">
    <w:name w:val="heading 9"/>
    <w:basedOn w:val="Normal"/>
    <w:qFormat/>
    <w:rsid w:val="004D66D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TableText"/>
    <w:rsid w:val="004D66DA"/>
    <w:pPr>
      <w:jc w:val="center"/>
    </w:pPr>
    <w:rPr>
      <w:b/>
    </w:rPr>
  </w:style>
  <w:style w:type="paragraph" w:customStyle="1" w:styleId="TableText">
    <w:name w:val="Table Text"/>
    <w:basedOn w:val="Normal"/>
    <w:rsid w:val="004D66DA"/>
    <w:pPr>
      <w:spacing w:before="120"/>
    </w:pPr>
  </w:style>
  <w:style w:type="paragraph" w:styleId="Header">
    <w:name w:val="header"/>
    <w:basedOn w:val="Normal"/>
    <w:rsid w:val="00714B9A"/>
    <w:pPr>
      <w:tabs>
        <w:tab w:val="center" w:pos="4320"/>
        <w:tab w:val="right" w:pos="8640"/>
      </w:tabs>
    </w:pPr>
  </w:style>
  <w:style w:type="paragraph" w:customStyle="1" w:styleId="SectionHeading">
    <w:name w:val="Section Heading"/>
    <w:basedOn w:val="Normal"/>
    <w:next w:val="Heading1"/>
    <w:rsid w:val="004D66DA"/>
    <w:pPr>
      <w:spacing w:after="480"/>
      <w:jc w:val="center"/>
    </w:pPr>
    <w:rPr>
      <w:b/>
      <w:caps/>
    </w:rPr>
  </w:style>
  <w:style w:type="paragraph" w:styleId="BodyText">
    <w:name w:val="Body Text"/>
    <w:basedOn w:val="Normal"/>
    <w:rsid w:val="004D66DA"/>
    <w:pPr>
      <w:spacing w:after="240"/>
    </w:pPr>
  </w:style>
  <w:style w:type="paragraph" w:styleId="BodyTextIndent">
    <w:name w:val="Body Text Indent"/>
    <w:basedOn w:val="Normal"/>
    <w:rsid w:val="004D66DA"/>
    <w:pPr>
      <w:spacing w:after="240"/>
      <w:ind w:left="1152"/>
    </w:pPr>
  </w:style>
  <w:style w:type="paragraph" w:customStyle="1" w:styleId="NTS">
    <w:name w:val="NTS"/>
    <w:basedOn w:val="BodyText"/>
    <w:next w:val="BodyText"/>
    <w:rsid w:val="004D66DA"/>
    <w:pPr>
      <w:spacing w:after="0"/>
    </w:pPr>
    <w:rPr>
      <w:vanish/>
      <w:color w:val="000080"/>
    </w:rPr>
  </w:style>
  <w:style w:type="paragraph" w:styleId="TOC1">
    <w:name w:val="toc 1"/>
    <w:basedOn w:val="NTS"/>
    <w:next w:val="TOC2"/>
    <w:semiHidden/>
    <w:rsid w:val="004D66DA"/>
    <w:pPr>
      <w:tabs>
        <w:tab w:val="right" w:leader="dot" w:pos="9000"/>
      </w:tabs>
      <w:spacing w:before="240" w:after="120"/>
    </w:pPr>
    <w:rPr>
      <w:b/>
      <w:caps/>
      <w:color w:val="auto"/>
    </w:rPr>
  </w:style>
  <w:style w:type="paragraph" w:customStyle="1" w:styleId="SectionEnd">
    <w:name w:val="Section End"/>
    <w:basedOn w:val="SectionHeading"/>
    <w:next w:val="SectionHeading"/>
    <w:rsid w:val="004D66DA"/>
  </w:style>
  <w:style w:type="paragraph" w:styleId="TOC2">
    <w:name w:val="toc 2"/>
    <w:basedOn w:val="NTS"/>
    <w:next w:val="Normal"/>
    <w:semiHidden/>
    <w:rsid w:val="004D66DA"/>
    <w:pPr>
      <w:tabs>
        <w:tab w:val="left" w:pos="965"/>
        <w:tab w:val="right" w:leader="dot" w:pos="9000"/>
      </w:tabs>
      <w:ind w:left="240"/>
    </w:pPr>
    <w:rPr>
      <w:b/>
      <w:smallCaps/>
    </w:rPr>
  </w:style>
  <w:style w:type="paragraph" w:customStyle="1" w:styleId="SectionTOC">
    <w:name w:val="Section TOC"/>
    <w:basedOn w:val="SectionHeading"/>
    <w:rsid w:val="004D66DA"/>
    <w:rPr>
      <w:vanish/>
      <w:color w:val="000080"/>
    </w:rPr>
  </w:style>
  <w:style w:type="paragraph" w:styleId="Footer">
    <w:name w:val="footer"/>
    <w:basedOn w:val="Normal"/>
    <w:rsid w:val="00714B9A"/>
    <w:pPr>
      <w:tabs>
        <w:tab w:val="center" w:pos="4320"/>
        <w:tab w:val="right" w:pos="8640"/>
      </w:tabs>
    </w:pPr>
  </w:style>
  <w:style w:type="character" w:styleId="PageNumber">
    <w:name w:val="page number"/>
    <w:basedOn w:val="DefaultParagraphFont"/>
    <w:rsid w:val="004D66DA"/>
  </w:style>
  <w:style w:type="character" w:customStyle="1" w:styleId="Choice">
    <w:name w:val="Choice"/>
    <w:basedOn w:val="DefaultParagraphFont"/>
    <w:rsid w:val="004D66DA"/>
    <w:rPr>
      <w:rFonts w:ascii="Times New Roman" w:hAnsi="Times New Roman"/>
      <w:b/>
      <w:sz w:val="24"/>
    </w:rPr>
  </w:style>
  <w:style w:type="paragraph" w:customStyle="1" w:styleId="Comment">
    <w:name w:val="Comment"/>
    <w:basedOn w:val="BodyText"/>
    <w:rsid w:val="004D66DA"/>
    <w:pPr>
      <w:spacing w:after="120"/>
    </w:pPr>
    <w:rPr>
      <w:vanish/>
      <w:color w:val="008000"/>
    </w:rPr>
  </w:style>
  <w:style w:type="character" w:customStyle="1" w:styleId="Heading2Char">
    <w:name w:val="Heading 2 Char"/>
    <w:basedOn w:val="DefaultParagraphFont"/>
    <w:link w:val="Heading2"/>
    <w:rsid w:val="00385829"/>
    <w:rPr>
      <w:rFonts w:eastAsia="Calibri"/>
      <w:caps/>
      <w:sz w:val="24"/>
      <w:szCs w:val="22"/>
      <w:lang w:val="en-US" w:eastAsia="en-US" w:bidi="ar-SA"/>
    </w:rPr>
  </w:style>
  <w:style w:type="paragraph" w:styleId="TOC5">
    <w:name w:val="toc 5"/>
    <w:basedOn w:val="Normal"/>
    <w:next w:val="Normal"/>
    <w:semiHidden/>
    <w:rsid w:val="004D66DA"/>
    <w:pPr>
      <w:tabs>
        <w:tab w:val="right" w:leader="dot" w:pos="9000"/>
      </w:tabs>
      <w:ind w:left="960"/>
    </w:pPr>
  </w:style>
  <w:style w:type="character" w:customStyle="1" w:styleId="Heading3Char">
    <w:name w:val="Heading 3 Char"/>
    <w:basedOn w:val="DefaultParagraphFont"/>
    <w:link w:val="Heading3"/>
    <w:rsid w:val="00385829"/>
    <w:rPr>
      <w:rFonts w:eastAsia="Calibri"/>
      <w:sz w:val="24"/>
      <w:szCs w:val="22"/>
    </w:rPr>
  </w:style>
  <w:style w:type="character" w:customStyle="1" w:styleId="Heading4Char">
    <w:name w:val="Heading 4 Char"/>
    <w:basedOn w:val="DefaultParagraphFont"/>
    <w:link w:val="Heading4"/>
    <w:rsid w:val="00385829"/>
    <w:rPr>
      <w:rFonts w:eastAsia="Calibri"/>
      <w:sz w:val="24"/>
      <w:szCs w:val="22"/>
      <w:lang w:val="en-US" w:eastAsia="en-US" w:bidi="ar-SA"/>
    </w:rPr>
  </w:style>
  <w:style w:type="character" w:customStyle="1" w:styleId="Heading5Char">
    <w:name w:val="Heading 5 Char"/>
    <w:basedOn w:val="DefaultParagraphFont"/>
    <w:link w:val="Heading5"/>
    <w:rsid w:val="00385829"/>
    <w:rPr>
      <w:rFonts w:eastAsia="Calibri"/>
      <w:sz w:val="24"/>
      <w:szCs w:val="22"/>
      <w:lang w:val="en-US" w:eastAsia="en-US" w:bidi="ar-SA"/>
    </w:rPr>
  </w:style>
  <w:style w:type="paragraph" w:styleId="BalloonText">
    <w:name w:val="Balloon Text"/>
    <w:basedOn w:val="Normal"/>
    <w:link w:val="BalloonTextChar"/>
    <w:rsid w:val="00002C80"/>
    <w:rPr>
      <w:rFonts w:ascii="Tahoma" w:hAnsi="Tahoma" w:cs="Tahoma"/>
      <w:sz w:val="16"/>
      <w:szCs w:val="16"/>
    </w:rPr>
  </w:style>
  <w:style w:type="character" w:customStyle="1" w:styleId="BalloonTextChar">
    <w:name w:val="Balloon Text Char"/>
    <w:basedOn w:val="DefaultParagraphFont"/>
    <w:link w:val="BalloonText"/>
    <w:rsid w:val="00002C80"/>
    <w:rPr>
      <w:rFonts w:ascii="Tahoma" w:eastAsia="Calibri" w:hAnsi="Tahoma" w:cs="Tahoma"/>
      <w:sz w:val="16"/>
      <w:szCs w:val="16"/>
    </w:rPr>
  </w:style>
  <w:style w:type="paragraph" w:styleId="Revision">
    <w:name w:val="Revision"/>
    <w:hidden/>
    <w:uiPriority w:val="99"/>
    <w:semiHidden/>
    <w:rsid w:val="00051EAD"/>
    <w:rPr>
      <w:rFonts w:eastAsia="Calibri"/>
      <w:sz w:val="24"/>
      <w:szCs w:val="22"/>
    </w:rPr>
  </w:style>
  <w:style w:type="table" w:styleId="TableGrid">
    <w:name w:val="Table Grid"/>
    <w:basedOn w:val="TableNormal"/>
    <w:uiPriority w:val="59"/>
    <w:rsid w:val="00C572A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25E71"/>
    <w:rPr>
      <w:sz w:val="16"/>
      <w:szCs w:val="16"/>
    </w:rPr>
  </w:style>
  <w:style w:type="paragraph" w:styleId="CommentText">
    <w:name w:val="annotation text"/>
    <w:basedOn w:val="Normal"/>
    <w:link w:val="CommentTextChar"/>
    <w:rsid w:val="00D25E71"/>
    <w:rPr>
      <w:sz w:val="20"/>
    </w:rPr>
  </w:style>
  <w:style w:type="character" w:customStyle="1" w:styleId="CommentTextChar">
    <w:name w:val="Comment Text Char"/>
    <w:basedOn w:val="DefaultParagraphFont"/>
    <w:link w:val="CommentText"/>
    <w:rsid w:val="00D25E71"/>
    <w:rPr>
      <w:rFonts w:eastAsia="Calibri"/>
    </w:rPr>
  </w:style>
  <w:style w:type="paragraph" w:styleId="CommentSubject">
    <w:name w:val="annotation subject"/>
    <w:basedOn w:val="CommentText"/>
    <w:next w:val="CommentText"/>
    <w:link w:val="CommentSubjectChar"/>
    <w:rsid w:val="00D25E71"/>
    <w:rPr>
      <w:b/>
      <w:bCs/>
    </w:rPr>
  </w:style>
  <w:style w:type="character" w:customStyle="1" w:styleId="CommentSubjectChar">
    <w:name w:val="Comment Subject Char"/>
    <w:basedOn w:val="CommentTextChar"/>
    <w:link w:val="CommentSubject"/>
    <w:rsid w:val="00D25E71"/>
    <w:rPr>
      <w:b/>
      <w:bCs/>
    </w:rPr>
  </w:style>
  <w:style w:type="paragraph" w:customStyle="1" w:styleId="SPECText1">
    <w:name w:val="SPECText[1]"/>
    <w:basedOn w:val="Normal"/>
    <w:rsid w:val="00714B9A"/>
    <w:pPr>
      <w:keepNext/>
      <w:widowControl/>
      <w:numPr>
        <w:numId w:val="11"/>
      </w:numPr>
      <w:suppressAutoHyphens/>
      <w:spacing w:before="480"/>
      <w:outlineLvl w:val="0"/>
    </w:pPr>
  </w:style>
  <w:style w:type="paragraph" w:customStyle="1" w:styleId="SPECText2">
    <w:name w:val="SPECText[2]"/>
    <w:basedOn w:val="Normal"/>
    <w:rsid w:val="00714B9A"/>
    <w:pPr>
      <w:keepNext/>
      <w:widowControl/>
      <w:numPr>
        <w:ilvl w:val="1"/>
        <w:numId w:val="11"/>
      </w:numPr>
      <w:tabs>
        <w:tab w:val="left" w:pos="576"/>
      </w:tabs>
      <w:suppressAutoHyphens/>
      <w:spacing w:before="240"/>
      <w:outlineLvl w:val="1"/>
    </w:pPr>
  </w:style>
  <w:style w:type="paragraph" w:customStyle="1" w:styleId="SPECText3">
    <w:name w:val="SPECText[3]"/>
    <w:basedOn w:val="Normal"/>
    <w:rsid w:val="00714B9A"/>
    <w:pPr>
      <w:widowControl/>
      <w:numPr>
        <w:ilvl w:val="2"/>
        <w:numId w:val="11"/>
      </w:numPr>
      <w:tabs>
        <w:tab w:val="left" w:pos="1008"/>
      </w:tabs>
      <w:suppressAutoHyphens/>
      <w:spacing w:before="240"/>
      <w:outlineLvl w:val="2"/>
    </w:pPr>
  </w:style>
  <w:style w:type="paragraph" w:customStyle="1" w:styleId="SPECText4">
    <w:name w:val="SPECText[4]"/>
    <w:basedOn w:val="Normal"/>
    <w:rsid w:val="00714B9A"/>
    <w:pPr>
      <w:widowControl/>
      <w:numPr>
        <w:ilvl w:val="3"/>
        <w:numId w:val="11"/>
      </w:numPr>
      <w:tabs>
        <w:tab w:val="left" w:pos="1440"/>
      </w:tabs>
      <w:suppressAutoHyphens/>
      <w:outlineLvl w:val="3"/>
    </w:pPr>
  </w:style>
  <w:style w:type="paragraph" w:customStyle="1" w:styleId="SPECText5">
    <w:name w:val="SPECText[5]"/>
    <w:basedOn w:val="Normal"/>
    <w:rsid w:val="00714B9A"/>
    <w:pPr>
      <w:widowControl/>
      <w:numPr>
        <w:ilvl w:val="4"/>
        <w:numId w:val="11"/>
      </w:numPr>
      <w:tabs>
        <w:tab w:val="left" w:pos="1872"/>
      </w:tabs>
      <w:suppressAutoHyphens/>
      <w:outlineLvl w:val="4"/>
    </w:pPr>
  </w:style>
  <w:style w:type="paragraph" w:customStyle="1" w:styleId="SPECText6">
    <w:name w:val="SPECText[6]"/>
    <w:basedOn w:val="Normal"/>
    <w:rsid w:val="00714B9A"/>
    <w:pPr>
      <w:widowControl/>
      <w:numPr>
        <w:ilvl w:val="5"/>
        <w:numId w:val="11"/>
      </w:numPr>
      <w:tabs>
        <w:tab w:val="left" w:pos="2304"/>
      </w:tabs>
      <w:suppressAutoHyphens/>
      <w:outlineLvl w:val="5"/>
    </w:pPr>
  </w:style>
  <w:style w:type="paragraph" w:customStyle="1" w:styleId="SPECText7">
    <w:name w:val="SPECText[7]"/>
    <w:basedOn w:val="Normal"/>
    <w:rsid w:val="00714B9A"/>
    <w:pPr>
      <w:widowControl/>
      <w:numPr>
        <w:ilvl w:val="6"/>
        <w:numId w:val="11"/>
      </w:numPr>
      <w:tabs>
        <w:tab w:val="left" w:pos="2736"/>
      </w:tabs>
      <w:suppressAutoHyphens/>
      <w:outlineLvl w:val="6"/>
    </w:pPr>
  </w:style>
  <w:style w:type="paragraph" w:customStyle="1" w:styleId="SPECText8">
    <w:name w:val="SPECText[8]"/>
    <w:basedOn w:val="Normal"/>
    <w:rsid w:val="00714B9A"/>
    <w:pPr>
      <w:widowControl/>
      <w:numPr>
        <w:ilvl w:val="7"/>
        <w:numId w:val="11"/>
      </w:numPr>
      <w:tabs>
        <w:tab w:val="left" w:pos="3168"/>
      </w:tabs>
      <w:suppressAutoHyphens/>
      <w:outlineLvl w:val="7"/>
    </w:pPr>
  </w:style>
  <w:style w:type="paragraph" w:customStyle="1" w:styleId="SPECText9">
    <w:name w:val="SPECText[9]"/>
    <w:basedOn w:val="Normal"/>
    <w:rsid w:val="00714B9A"/>
    <w:pPr>
      <w:widowControl/>
      <w:numPr>
        <w:ilvl w:val="8"/>
        <w:numId w:val="11"/>
      </w:numPr>
      <w:tabs>
        <w:tab w:val="left" w:pos="3600"/>
      </w:tabs>
      <w:suppressAutoHyphens/>
      <w:outlineLvl w:val="8"/>
    </w:pPr>
  </w:style>
  <w:style w:type="paragraph" w:customStyle="1" w:styleId="STEditOR">
    <w:name w:val="STEdit[OR]"/>
    <w:basedOn w:val="Normal"/>
    <w:rsid w:val="00714B9A"/>
    <w:pPr>
      <w:spacing w:before="240"/>
      <w:jc w:val="center"/>
    </w:pPr>
  </w:style>
  <w:style w:type="paragraph" w:customStyle="1" w:styleId="STFooter">
    <w:name w:val="STFooter"/>
    <w:basedOn w:val="Normal"/>
    <w:rsid w:val="00714B9A"/>
    <w:pPr>
      <w:tabs>
        <w:tab w:val="center" w:pos="4680"/>
        <w:tab w:val="right" w:pos="9360"/>
      </w:tabs>
    </w:pPr>
  </w:style>
  <w:style w:type="paragraph" w:customStyle="1" w:styleId="STHeader">
    <w:name w:val="STHeader"/>
    <w:basedOn w:val="Normal"/>
    <w:rsid w:val="00714B9A"/>
    <w:pPr>
      <w:tabs>
        <w:tab w:val="center" w:pos="4680"/>
        <w:tab w:val="right" w:pos="9360"/>
      </w:tabs>
    </w:pPr>
  </w:style>
  <w:style w:type="paragraph" w:customStyle="1" w:styleId="STNoteProj">
    <w:name w:val="STNoteProj"/>
    <w:basedOn w:val="Normal"/>
    <w:rsid w:val="00714B9A"/>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714B9A"/>
    <w:pPr>
      <w:widowControl/>
    </w:pPr>
    <w:rPr>
      <w:color w:val="008000"/>
    </w:rPr>
  </w:style>
  <w:style w:type="paragraph" w:customStyle="1" w:styleId="STSectEnd">
    <w:name w:val="STSectEnd"/>
    <w:basedOn w:val="Normal"/>
    <w:next w:val="Normal"/>
    <w:rsid w:val="00714B9A"/>
    <w:pPr>
      <w:spacing w:before="480"/>
      <w:jc w:val="center"/>
    </w:pPr>
  </w:style>
  <w:style w:type="paragraph" w:customStyle="1" w:styleId="STSectNum">
    <w:name w:val="STSectNum"/>
    <w:basedOn w:val="Normal"/>
    <w:rsid w:val="00714B9A"/>
    <w:pPr>
      <w:jc w:val="center"/>
    </w:pPr>
  </w:style>
  <w:style w:type="paragraph" w:customStyle="1" w:styleId="STSectTitle">
    <w:name w:val="STSectTitle"/>
    <w:basedOn w:val="Normal"/>
    <w:next w:val="SPECText1"/>
    <w:rsid w:val="00714B9A"/>
    <w:pPr>
      <w:spacing w:before="240"/>
      <w:jc w:val="center"/>
    </w:pPr>
  </w:style>
  <w:style w:type="character" w:customStyle="1" w:styleId="STUnitIP">
    <w:name w:val="STUnitIP"/>
    <w:basedOn w:val="DefaultParagraphFont"/>
    <w:rsid w:val="00714B9A"/>
    <w:rPr>
      <w:color w:val="800000"/>
    </w:rPr>
  </w:style>
  <w:style w:type="character" w:customStyle="1" w:styleId="STUnitSI">
    <w:name w:val="STUnitSI"/>
    <w:basedOn w:val="DefaultParagraphFont"/>
    <w:rsid w:val="00714B9A"/>
    <w:rPr>
      <w:color w:val="0000FF"/>
    </w:rPr>
  </w:style>
  <w:style w:type="paragraph" w:styleId="DocumentMap">
    <w:name w:val="Document Map"/>
    <w:basedOn w:val="Normal"/>
    <w:link w:val="DocumentMapChar"/>
    <w:rsid w:val="00714B9A"/>
    <w:pPr>
      <w:shd w:val="clear" w:color="auto" w:fill="000080"/>
    </w:pPr>
    <w:rPr>
      <w:rFonts w:ascii="Tahoma" w:hAnsi="Tahoma" w:cs="Tahoma"/>
    </w:rPr>
  </w:style>
  <w:style w:type="character" w:customStyle="1" w:styleId="DocumentMapChar">
    <w:name w:val="Document Map Char"/>
    <w:basedOn w:val="DefaultParagraphFont"/>
    <w:link w:val="DocumentMap"/>
    <w:rsid w:val="00714B9A"/>
    <w:rPr>
      <w:rFonts w:ascii="Tahoma" w:hAnsi="Tahoma" w:cs="Tahoma"/>
      <w:snapToGrid w:val="0"/>
      <w:sz w:val="22"/>
      <w:shd w:val="clear" w:color="auto" w:fill="000080"/>
    </w:rPr>
  </w:style>
  <w:style w:type="character" w:customStyle="1" w:styleId="STMF04">
    <w:name w:val="STMF04"/>
    <w:rsid w:val="00714B9A"/>
    <w:rPr>
      <w:color w:val="FF9900"/>
    </w:rPr>
  </w:style>
  <w:style w:type="character" w:customStyle="1" w:styleId="STMF95">
    <w:name w:val="STMF95"/>
    <w:rsid w:val="00714B9A"/>
    <w:rPr>
      <w:color w:val="9900CC"/>
    </w:rPr>
  </w:style>
  <w:style w:type="paragraph" w:customStyle="1" w:styleId="STTable">
    <w:name w:val="STTable"/>
    <w:basedOn w:val="Normal"/>
    <w:rsid w:val="00714B9A"/>
    <w:pPr>
      <w:spacing w:before="40" w:after="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arter\Application%20Data\Microsoft\Templates\spec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79F2-BFA3-4935-BB44-ADCAB94D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spectext.dotm</Template>
  <TotalTime>0</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26 36 24 Automatic Transfer Control System</vt:lpstr>
    </vt:vector>
  </TitlesOfParts>
  <Company>CH2M HILL, Inc.</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36 24 Automatic Transfer Control System</dc:title>
  <dc:creator>Matthew Johnson</dc:creator>
  <dc:description>CH2M HILL Specifications Technical Template Version 2.0</dc:description>
  <cp:lastModifiedBy>Matthew Johnson</cp:lastModifiedBy>
  <cp:revision>2</cp:revision>
  <cp:lastPrinted>2009-07-16T21:45:00Z</cp:lastPrinted>
  <dcterms:created xsi:type="dcterms:W3CDTF">2010-10-14T13:32:00Z</dcterms:created>
  <dcterms:modified xsi:type="dcterms:W3CDTF">2010-10-14T13:32:00Z</dcterms:modified>
  <cp:category>BTRSSO</cp:category>
</cp:coreProperties>
</file>